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DC38A8">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563EF0">
        <w:rPr>
          <w:rFonts w:cs="Arial"/>
          <w:sz w:val="24"/>
        </w:rPr>
        <w:t>4</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2E77E0">
        <w:rPr>
          <w:rFonts w:cs="Arial"/>
          <w:iCs/>
          <w:sz w:val="24"/>
        </w:rPr>
        <w:t>0900</w:t>
      </w:r>
    </w:p>
    <w:p w:rsidR="0099206E" w:rsidRPr="00B278CD" w:rsidRDefault="00B278CD" w:rsidP="00DC38A8">
      <w:pPr>
        <w:pStyle w:val="Header"/>
        <w:tabs>
          <w:tab w:val="right" w:pos="10206"/>
        </w:tabs>
        <w:spacing w:after="120"/>
        <w:jc w:val="both"/>
        <w:rPr>
          <w:rFonts w:cs="Arial"/>
          <w:sz w:val="24"/>
        </w:rPr>
      </w:pPr>
      <w:r w:rsidRPr="00B278CD">
        <w:rPr>
          <w:rFonts w:eastAsia="SimSun"/>
          <w:sz w:val="24"/>
          <w:szCs w:val="24"/>
          <w:lang w:eastAsia="zh-CN"/>
        </w:rPr>
        <w:t>San Francisco, CA, US</w:t>
      </w:r>
      <w:r w:rsidRPr="00B278CD">
        <w:rPr>
          <w:rFonts w:eastAsia="SimSun"/>
          <w:sz w:val="24"/>
          <w:szCs w:val="24"/>
          <w:lang w:val="pt-BR" w:eastAsia="zh-CN"/>
        </w:rPr>
        <w:t>,</w:t>
      </w:r>
      <w:r w:rsidRPr="00B278CD">
        <w:rPr>
          <w:sz w:val="24"/>
          <w:szCs w:val="24"/>
          <w:lang w:val="pt-BR"/>
        </w:rPr>
        <w:t xml:space="preserve"> </w:t>
      </w:r>
      <w:r w:rsidRPr="00B278CD">
        <w:rPr>
          <w:sz w:val="24"/>
          <w:szCs w:val="24"/>
        </w:rPr>
        <w:t xml:space="preserve">17 </w:t>
      </w:r>
      <w:r w:rsidRPr="00B278CD">
        <w:rPr>
          <w:rFonts w:eastAsia="SimSun"/>
          <w:sz w:val="24"/>
          <w:szCs w:val="24"/>
          <w:lang w:eastAsia="zh-CN"/>
        </w:rPr>
        <w:t>– 21</w:t>
      </w:r>
      <w:r w:rsidRPr="00B278CD">
        <w:rPr>
          <w:sz w:val="24"/>
          <w:szCs w:val="24"/>
        </w:rPr>
        <w:t xml:space="preserve"> </w:t>
      </w:r>
      <w:r w:rsidRPr="00B278CD">
        <w:rPr>
          <w:rFonts w:eastAsia="SimSun"/>
          <w:sz w:val="24"/>
          <w:szCs w:val="24"/>
          <w:lang w:eastAsia="zh-CN"/>
        </w:rPr>
        <w:t>Nov</w:t>
      </w:r>
      <w:r w:rsidRPr="00B278CD">
        <w:rPr>
          <w:sz w:val="24"/>
          <w:szCs w:val="24"/>
        </w:rPr>
        <w:t>, 2014</w:t>
      </w:r>
    </w:p>
    <w:p w:rsidR="0099206E" w:rsidRPr="00BF1B44" w:rsidRDefault="0099206E" w:rsidP="00DC38A8">
      <w:pPr>
        <w:spacing w:after="120"/>
        <w:ind w:left="1985" w:hanging="1985"/>
        <w:jc w:val="both"/>
        <w:rPr>
          <w:rFonts w:ascii="Arial" w:hAnsi="Arial" w:cs="Arial"/>
          <w:b/>
        </w:rPr>
      </w:pPr>
    </w:p>
    <w:p w:rsidR="0099206E" w:rsidRPr="000171ED" w:rsidRDefault="0099206E" w:rsidP="00DC38A8">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r w:rsidR="002906F4">
        <w:rPr>
          <w:rFonts w:ascii="Arial" w:hAnsi="Arial" w:cs="Arial"/>
        </w:rPr>
        <w:t>, Nokia Corporation</w:t>
      </w:r>
    </w:p>
    <w:p w:rsidR="0099206E" w:rsidRPr="008B1E4B" w:rsidRDefault="0099206E" w:rsidP="00DC38A8">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563EF0">
        <w:rPr>
          <w:rFonts w:ascii="Arial" w:hAnsi="Arial" w:cs="Arial"/>
        </w:rPr>
        <w:t xml:space="preserve">General </w:t>
      </w:r>
      <w:r w:rsidR="002906F4">
        <w:rPr>
          <w:rFonts w:ascii="Arial" w:hAnsi="Arial" w:cs="Arial"/>
        </w:rPr>
        <w:t>discussion on Rel-13 high speed SI</w:t>
      </w:r>
    </w:p>
    <w:p w:rsidR="0099206E" w:rsidRPr="00C62060" w:rsidRDefault="0099206E" w:rsidP="00DC38A8">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2906F4">
        <w:rPr>
          <w:rFonts w:ascii="Arial" w:hAnsi="Arial" w:cs="Arial"/>
        </w:rPr>
        <w:t>9.3</w:t>
      </w:r>
    </w:p>
    <w:p w:rsidR="0099206E" w:rsidRDefault="0099206E" w:rsidP="00DC38A8">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051024" w:rsidRDefault="00051024" w:rsidP="00DC38A8">
      <w:pPr>
        <w:jc w:val="both"/>
        <w:rPr>
          <w:kern w:val="2"/>
        </w:rPr>
      </w:pPr>
    </w:p>
    <w:p w:rsidR="00337E10" w:rsidRDefault="00337E10" w:rsidP="00337E10">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563EF0" w:rsidRDefault="00372A02" w:rsidP="00372A02">
      <w:pPr>
        <w:jc w:val="both"/>
        <w:rPr>
          <w:lang w:val="en-US"/>
        </w:rPr>
      </w:pPr>
      <w:r>
        <w:rPr>
          <w:lang w:val="en-US"/>
        </w:rPr>
        <w:t xml:space="preserve">A new Rel-13 SI is approved in last RAN plenary meeting to study LTE performance under high speed scenarios [1].  Based on the SID [1], there are two major objectives of the study: </w:t>
      </w:r>
    </w:p>
    <w:p w:rsidR="00372A02" w:rsidRPr="00372A02" w:rsidRDefault="00372A02" w:rsidP="002A2BFA">
      <w:pPr>
        <w:numPr>
          <w:ilvl w:val="0"/>
          <w:numId w:val="2"/>
        </w:numPr>
        <w:rPr>
          <w:i/>
          <w:lang w:val="en-US"/>
        </w:rPr>
      </w:pPr>
      <w:r w:rsidRPr="00372A02">
        <w:rPr>
          <w:i/>
          <w:lang w:eastAsia="zh-CN"/>
        </w:rPr>
        <w:t>Comprehensively study enhancing of the requirements for UE RRM, UE demodulation and BS demodulation under existing high speed scenario.</w:t>
      </w:r>
    </w:p>
    <w:p w:rsidR="00372A02" w:rsidRPr="00372A02" w:rsidRDefault="00372A02" w:rsidP="002A2BFA">
      <w:pPr>
        <w:numPr>
          <w:ilvl w:val="0"/>
          <w:numId w:val="2"/>
        </w:numPr>
        <w:rPr>
          <w:i/>
          <w:lang w:val="en-US"/>
        </w:rPr>
      </w:pPr>
      <w:r w:rsidRPr="00372A02">
        <w:rPr>
          <w:i/>
          <w:lang w:val="en-US"/>
        </w:rPr>
        <w:t>Identifying other new conditions to affect the system performance for E-UTRA under high speed environment and investigating BS demodulation, UE demodulation, and UE RRM performance under the identified new high speed scenarios.</w:t>
      </w:r>
    </w:p>
    <w:p w:rsidR="007D63D6" w:rsidRDefault="007D63D6" w:rsidP="00563EF0">
      <w:pPr>
        <w:jc w:val="both"/>
        <w:rPr>
          <w:lang w:val="en-US"/>
        </w:rPr>
      </w:pPr>
      <w:r>
        <w:rPr>
          <w:lang w:val="en-US"/>
        </w:rPr>
        <w:t>The first objective includes study performance enhancements with UE velocity at least up to 350km/h (as the 1</w:t>
      </w:r>
      <w:r w:rsidRPr="007D63D6">
        <w:rPr>
          <w:vertAlign w:val="superscript"/>
          <w:lang w:val="en-US"/>
        </w:rPr>
        <w:t>st</w:t>
      </w:r>
      <w:r>
        <w:rPr>
          <w:lang w:val="en-US"/>
        </w:rPr>
        <w:t xml:space="preserve"> priority) and with UE velocity above 350km/h.  The second objective is to study new high speed train scenarios for potential enhancements of performance under various deployments.</w:t>
      </w:r>
    </w:p>
    <w:p w:rsidR="007D63D6" w:rsidRDefault="007D63D6" w:rsidP="00563EF0">
      <w:pPr>
        <w:jc w:val="both"/>
        <w:rPr>
          <w:lang w:val="en-US"/>
        </w:rPr>
      </w:pPr>
      <w:r>
        <w:rPr>
          <w:lang w:val="en-US"/>
        </w:rPr>
        <w:t>In this contribution, we</w:t>
      </w:r>
      <w:r w:rsidR="00671623">
        <w:rPr>
          <w:lang w:val="en-US"/>
        </w:rPr>
        <w:t xml:space="preserve"> provide an overview on the current RAN4 </w:t>
      </w:r>
      <w:r>
        <w:rPr>
          <w:lang w:val="en-US"/>
        </w:rPr>
        <w:t>status</w:t>
      </w:r>
      <w:r w:rsidR="00671623">
        <w:rPr>
          <w:lang w:val="en-US"/>
        </w:rPr>
        <w:t xml:space="preserve"> of high speed </w:t>
      </w:r>
      <w:r w:rsidR="003A04A9">
        <w:rPr>
          <w:lang w:val="en-US"/>
        </w:rPr>
        <w:t>specifications</w:t>
      </w:r>
      <w:r>
        <w:rPr>
          <w:lang w:val="en-US"/>
        </w:rPr>
        <w:t>.  Based on the analysis, we also provide our general views on the progress of the SI.</w:t>
      </w:r>
    </w:p>
    <w:p w:rsidR="003A04A9" w:rsidRDefault="003A04A9" w:rsidP="00563EF0">
      <w:pPr>
        <w:jc w:val="both"/>
        <w:rPr>
          <w:lang w:val="en-US"/>
        </w:rPr>
      </w:pPr>
    </w:p>
    <w:p w:rsidR="00671623" w:rsidRDefault="00671623" w:rsidP="00671623">
      <w:pPr>
        <w:pStyle w:val="Heading3"/>
        <w:jc w:val="both"/>
        <w:rPr>
          <w:kern w:val="2"/>
          <w:lang w:val="en-US"/>
        </w:rPr>
      </w:pPr>
      <w:r>
        <w:rPr>
          <w:kern w:val="2"/>
          <w:lang w:val="en-US"/>
        </w:rPr>
        <w:t>2</w:t>
      </w:r>
      <w:r>
        <w:rPr>
          <w:kern w:val="2"/>
          <w:lang w:val="en-US"/>
        </w:rPr>
        <w:tab/>
        <w:t>BS performance for high speed scenarios</w:t>
      </w:r>
    </w:p>
    <w:p w:rsidR="00671623" w:rsidRDefault="00671623" w:rsidP="00563EF0">
      <w:pPr>
        <w:jc w:val="both"/>
        <w:rPr>
          <w:lang w:val="en-US"/>
        </w:rPr>
      </w:pPr>
      <w:r>
        <w:rPr>
          <w:lang w:val="en-US"/>
        </w:rPr>
        <w:t>The LTE BS specification, up to Rel-12, supports high speed scenarios with the maximum speed as high as 350km/hr, as specified in 36.104.</w:t>
      </w:r>
      <w:r w:rsidR="00B01546">
        <w:rPr>
          <w:lang w:val="en-US"/>
        </w:rPr>
        <w:t xml:space="preserve">  The parameters for high speed train (HST) conditions are defined in Table B.3-1 of 36.104, as illustrated here (36.104, V12.6.0):</w:t>
      </w:r>
    </w:p>
    <w:p w:rsidR="00B01546" w:rsidRPr="00297FFC" w:rsidRDefault="00B01546" w:rsidP="00B01546">
      <w:pPr>
        <w:pStyle w:val="TH"/>
      </w:pPr>
      <w:r w:rsidRPr="00297FFC">
        <w:t>Table B.3-1: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907"/>
        <w:gridCol w:w="2129"/>
      </w:tblGrid>
      <w:tr w:rsidR="00B01546" w:rsidRPr="00297FFC" w:rsidTr="002A2BFA">
        <w:trPr>
          <w:trHeight w:val="40"/>
          <w:jc w:val="center"/>
        </w:trPr>
        <w:tc>
          <w:tcPr>
            <w:tcW w:w="1356" w:type="dxa"/>
            <w:vMerge w:val="restart"/>
          </w:tcPr>
          <w:p w:rsidR="00B01546" w:rsidRPr="00297FFC" w:rsidRDefault="00B01546" w:rsidP="002A2BFA">
            <w:pPr>
              <w:pStyle w:val="TAH"/>
              <w:rPr>
                <w:rFonts w:cs="v5.0.0"/>
                <w:lang w:eastAsia="en-US"/>
              </w:rPr>
            </w:pPr>
            <w:r w:rsidRPr="00297FFC">
              <w:rPr>
                <w:rFonts w:cs="v5.0.0"/>
                <w:lang w:eastAsia="en-US"/>
              </w:rPr>
              <w:t xml:space="preserve"> Parameter</w:t>
            </w:r>
          </w:p>
        </w:tc>
        <w:tc>
          <w:tcPr>
            <w:tcW w:w="4036" w:type="dxa"/>
            <w:gridSpan w:val="2"/>
          </w:tcPr>
          <w:p w:rsidR="00B01546" w:rsidRPr="00297FFC" w:rsidRDefault="00B01546" w:rsidP="002A2BFA">
            <w:pPr>
              <w:pStyle w:val="TAH"/>
              <w:rPr>
                <w:rFonts w:cs="v5.0.0"/>
                <w:lang w:eastAsia="en-US"/>
              </w:rPr>
            </w:pPr>
            <w:r w:rsidRPr="00297FFC">
              <w:rPr>
                <w:rFonts w:cs="v5.0.0"/>
                <w:lang w:eastAsia="en-US"/>
              </w:rPr>
              <w:t>Value</w:t>
            </w:r>
          </w:p>
        </w:tc>
      </w:tr>
      <w:tr w:rsidR="00B01546" w:rsidRPr="00297FFC" w:rsidTr="002A2BFA">
        <w:trPr>
          <w:trHeight w:val="40"/>
          <w:jc w:val="center"/>
        </w:trPr>
        <w:tc>
          <w:tcPr>
            <w:tcW w:w="1356" w:type="dxa"/>
            <w:vMerge/>
          </w:tcPr>
          <w:p w:rsidR="00B01546" w:rsidRPr="00297FFC" w:rsidRDefault="00B01546" w:rsidP="002A2BFA">
            <w:pPr>
              <w:pStyle w:val="TAH"/>
              <w:rPr>
                <w:rFonts w:cs="v5.0.0"/>
                <w:lang w:eastAsia="en-US"/>
              </w:rPr>
            </w:pPr>
          </w:p>
        </w:tc>
        <w:tc>
          <w:tcPr>
            <w:tcW w:w="1907" w:type="dxa"/>
          </w:tcPr>
          <w:p w:rsidR="00B01546" w:rsidRPr="00297FFC" w:rsidRDefault="00B01546" w:rsidP="002A2BFA">
            <w:pPr>
              <w:pStyle w:val="TAH"/>
              <w:rPr>
                <w:rFonts w:cs="v5.0.0"/>
                <w:lang w:eastAsia="en-US"/>
              </w:rPr>
            </w:pPr>
            <w:r w:rsidRPr="00297FFC">
              <w:rPr>
                <w:rFonts w:cs="v5.0.0"/>
                <w:lang w:eastAsia="en-US"/>
              </w:rPr>
              <w:t>Scenario 1</w:t>
            </w:r>
          </w:p>
        </w:tc>
        <w:tc>
          <w:tcPr>
            <w:tcW w:w="2129" w:type="dxa"/>
          </w:tcPr>
          <w:p w:rsidR="00B01546" w:rsidRPr="00297FFC" w:rsidRDefault="00B01546" w:rsidP="002A2BFA">
            <w:pPr>
              <w:pStyle w:val="TAH"/>
              <w:rPr>
                <w:rFonts w:cs="v5.0.0"/>
                <w:lang w:eastAsia="en-US"/>
              </w:rPr>
            </w:pPr>
            <w:r w:rsidRPr="00297FFC">
              <w:rPr>
                <w:rFonts w:cs="v5.0.0"/>
                <w:lang w:eastAsia="en-US"/>
              </w:rPr>
              <w:t>Scenario 3</w:t>
            </w:r>
          </w:p>
        </w:tc>
      </w:tr>
      <w:tr w:rsidR="00B01546" w:rsidRPr="00297FFC" w:rsidTr="002A2BFA">
        <w:trPr>
          <w:trHeight w:val="138"/>
          <w:jc w:val="center"/>
        </w:trPr>
        <w:tc>
          <w:tcPr>
            <w:tcW w:w="1356" w:type="dxa"/>
          </w:tcPr>
          <w:p w:rsidR="00B01546" w:rsidRPr="00297FFC" w:rsidRDefault="00B01546" w:rsidP="002A2BFA">
            <w:pPr>
              <w:pStyle w:val="TAC"/>
              <w:rPr>
                <w:rFonts w:cs="v5.0.0"/>
                <w:lang w:eastAsia="en-US"/>
              </w:rPr>
            </w:pPr>
            <w:r w:rsidRPr="00297FFC">
              <w:rPr>
                <w:rFonts w:cs="Arial"/>
                <w:position w:val="-10"/>
                <w:sz w:val="20"/>
                <w:lang w:eastAsia="en-US"/>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pt" o:ole="">
                  <v:imagedata r:id="rId8" o:title=""/>
                </v:shape>
                <o:OLEObject Type="Embed" ProgID="Equation.3" ShapeID="_x0000_i1025" DrawAspect="Content" ObjectID="_1484379659" r:id="rId9"/>
              </w:object>
            </w:r>
          </w:p>
        </w:tc>
        <w:tc>
          <w:tcPr>
            <w:tcW w:w="1907" w:type="dxa"/>
          </w:tcPr>
          <w:p w:rsidR="00B01546" w:rsidRPr="00297FFC" w:rsidRDefault="00B01546" w:rsidP="002A2BFA">
            <w:pPr>
              <w:pStyle w:val="TAC"/>
              <w:rPr>
                <w:rFonts w:cs="v5.0.0"/>
                <w:lang w:eastAsia="en-US"/>
              </w:rPr>
            </w:pPr>
            <w:r w:rsidRPr="00297FFC">
              <w:rPr>
                <w:rFonts w:eastAsia="?? ??" w:cs="v5.0.0"/>
                <w:lang w:eastAsia="en-US"/>
              </w:rPr>
              <w:t>1000 m</w:t>
            </w:r>
          </w:p>
        </w:tc>
        <w:tc>
          <w:tcPr>
            <w:tcW w:w="2129" w:type="dxa"/>
          </w:tcPr>
          <w:p w:rsidR="00B01546" w:rsidRPr="00297FFC" w:rsidRDefault="00B01546" w:rsidP="002A2BFA">
            <w:pPr>
              <w:pStyle w:val="TAC"/>
              <w:rPr>
                <w:rFonts w:cs="v5.0.0"/>
                <w:lang w:eastAsia="en-US"/>
              </w:rPr>
            </w:pPr>
            <w:r w:rsidRPr="00297FFC">
              <w:rPr>
                <w:rFonts w:eastAsia="?? ??" w:cs="v5.0.0"/>
                <w:lang w:eastAsia="en-US"/>
              </w:rPr>
              <w:t>300 m</w:t>
            </w:r>
          </w:p>
        </w:tc>
      </w:tr>
      <w:tr w:rsidR="00B01546" w:rsidRPr="00297FFC" w:rsidTr="002A2BFA">
        <w:trPr>
          <w:trHeight w:val="390"/>
          <w:jc w:val="center"/>
        </w:trPr>
        <w:tc>
          <w:tcPr>
            <w:tcW w:w="1356" w:type="dxa"/>
          </w:tcPr>
          <w:p w:rsidR="00B01546" w:rsidRPr="00297FFC" w:rsidRDefault="00B01546" w:rsidP="002A2BFA">
            <w:pPr>
              <w:pStyle w:val="TAC"/>
              <w:rPr>
                <w:rFonts w:cs="Arial"/>
                <w:lang w:eastAsia="en-US"/>
              </w:rPr>
            </w:pPr>
            <w:r w:rsidRPr="00297FFC">
              <w:rPr>
                <w:rFonts w:cs="Arial"/>
                <w:position w:val="-10"/>
                <w:sz w:val="20"/>
                <w:lang w:eastAsia="en-US"/>
              </w:rPr>
              <w:object w:dxaOrig="460" w:dyaOrig="300">
                <v:shape id="_x0000_i1026" type="#_x0000_t75" style="width:26.4pt;height:16.8pt" o:ole="">
                  <v:imagedata r:id="rId10" o:title=""/>
                </v:shape>
                <o:OLEObject Type="Embed" ProgID="Equation.3" ShapeID="_x0000_i1026" DrawAspect="Content" ObjectID="_1484379660" r:id="rId11"/>
              </w:object>
            </w:r>
          </w:p>
        </w:tc>
        <w:tc>
          <w:tcPr>
            <w:tcW w:w="1907" w:type="dxa"/>
            <w:vAlign w:val="center"/>
          </w:tcPr>
          <w:p w:rsidR="00B01546" w:rsidRPr="00297FFC" w:rsidRDefault="00B01546" w:rsidP="002A2BFA">
            <w:pPr>
              <w:pStyle w:val="TAC"/>
              <w:rPr>
                <w:rFonts w:cs="Arial"/>
                <w:lang w:eastAsia="en-US"/>
              </w:rPr>
            </w:pPr>
            <w:r w:rsidRPr="00297FFC">
              <w:rPr>
                <w:rFonts w:eastAsia="?? ??" w:cs="v5.0.0"/>
                <w:lang w:eastAsia="en-US"/>
              </w:rPr>
              <w:t>50 m</w:t>
            </w:r>
          </w:p>
        </w:tc>
        <w:tc>
          <w:tcPr>
            <w:tcW w:w="2129" w:type="dxa"/>
            <w:vAlign w:val="center"/>
          </w:tcPr>
          <w:p w:rsidR="00B01546" w:rsidRPr="00297FFC" w:rsidRDefault="00B01546" w:rsidP="002A2BFA">
            <w:pPr>
              <w:pStyle w:val="TAC"/>
              <w:rPr>
                <w:rFonts w:cs="Arial"/>
                <w:lang w:eastAsia="en-US"/>
              </w:rPr>
            </w:pPr>
            <w:r w:rsidRPr="00297FFC">
              <w:rPr>
                <w:rFonts w:eastAsia="?? ??" w:cs="v5.0.0"/>
                <w:lang w:eastAsia="en-US"/>
              </w:rPr>
              <w:t>2 m</w:t>
            </w:r>
          </w:p>
        </w:tc>
      </w:tr>
      <w:tr w:rsidR="00B01546" w:rsidRPr="00297FFC" w:rsidTr="002A2BFA">
        <w:trPr>
          <w:trHeight w:val="157"/>
          <w:jc w:val="center"/>
        </w:trPr>
        <w:tc>
          <w:tcPr>
            <w:tcW w:w="1356" w:type="dxa"/>
          </w:tcPr>
          <w:p w:rsidR="00B01546" w:rsidRPr="00297FFC" w:rsidRDefault="00B01546" w:rsidP="002A2BFA">
            <w:pPr>
              <w:pStyle w:val="TAC"/>
              <w:rPr>
                <w:rFonts w:cs="v5.0.0"/>
                <w:lang w:eastAsia="en-US"/>
              </w:rPr>
            </w:pPr>
            <w:r w:rsidRPr="00297FFC">
              <w:rPr>
                <w:rFonts w:cs="Arial"/>
                <w:snapToGrid w:val="0"/>
                <w:position w:val="-6"/>
                <w:szCs w:val="21"/>
                <w:lang w:eastAsia="en-US"/>
              </w:rPr>
              <w:object w:dxaOrig="160" w:dyaOrig="200">
                <v:shape id="_x0000_i1027" type="#_x0000_t75" style="width:10.2pt;height:10.8pt" o:ole="">
                  <v:imagedata r:id="rId12" o:title=""/>
                </v:shape>
                <o:OLEObject Type="Embed" ProgID="Equation.3" ShapeID="_x0000_i1027" DrawAspect="Content" ObjectID="_1484379661" r:id="rId13"/>
              </w:object>
            </w:r>
          </w:p>
        </w:tc>
        <w:tc>
          <w:tcPr>
            <w:tcW w:w="1907" w:type="dxa"/>
            <w:vAlign w:val="center"/>
          </w:tcPr>
          <w:p w:rsidR="00B01546" w:rsidRPr="00297FFC" w:rsidRDefault="00B01546" w:rsidP="002A2BFA">
            <w:pPr>
              <w:pStyle w:val="TAC"/>
              <w:rPr>
                <w:rFonts w:cs="v5.0.0"/>
                <w:lang w:eastAsia="en-US"/>
              </w:rPr>
            </w:pPr>
            <w:r w:rsidRPr="00297FFC">
              <w:rPr>
                <w:rFonts w:eastAsia="?? ??" w:cs="v5.0.0"/>
                <w:lang w:eastAsia="en-US"/>
              </w:rPr>
              <w:t>350 km/h</w:t>
            </w:r>
          </w:p>
        </w:tc>
        <w:tc>
          <w:tcPr>
            <w:tcW w:w="2129" w:type="dxa"/>
            <w:vAlign w:val="center"/>
          </w:tcPr>
          <w:p w:rsidR="00B01546" w:rsidRPr="00297FFC" w:rsidRDefault="00B01546" w:rsidP="002A2BFA">
            <w:pPr>
              <w:pStyle w:val="TAC"/>
              <w:rPr>
                <w:rFonts w:cs="v5.0.0"/>
                <w:lang w:eastAsia="en-US"/>
              </w:rPr>
            </w:pPr>
            <w:r w:rsidRPr="00297FFC">
              <w:rPr>
                <w:rFonts w:eastAsia="?? ??" w:cs="v5.0.0"/>
                <w:lang w:eastAsia="en-US"/>
              </w:rPr>
              <w:t>300 km/h</w:t>
            </w:r>
          </w:p>
        </w:tc>
      </w:tr>
      <w:tr w:rsidR="00B01546" w:rsidRPr="00297FFC" w:rsidTr="002A2BFA">
        <w:trPr>
          <w:trHeight w:val="40"/>
          <w:jc w:val="center"/>
        </w:trPr>
        <w:tc>
          <w:tcPr>
            <w:tcW w:w="1356" w:type="dxa"/>
          </w:tcPr>
          <w:p w:rsidR="00B01546" w:rsidRPr="00297FFC" w:rsidRDefault="00B01546" w:rsidP="002A2BFA">
            <w:pPr>
              <w:pStyle w:val="TAC"/>
              <w:rPr>
                <w:rFonts w:ascii="Symbol" w:hAnsi="Symbol" w:cs="v5.0.0"/>
                <w:lang w:eastAsia="en-US"/>
              </w:rPr>
            </w:pPr>
            <w:r w:rsidRPr="00297FFC">
              <w:rPr>
                <w:rFonts w:cs="Arial"/>
                <w:snapToGrid w:val="0"/>
                <w:position w:val="-10"/>
                <w:szCs w:val="21"/>
                <w:lang w:eastAsia="en-US"/>
              </w:rPr>
              <w:object w:dxaOrig="279" w:dyaOrig="300">
                <v:shape id="_x0000_i1028" type="#_x0000_t75" style="width:16.2pt;height:16.8pt" o:ole="">
                  <v:imagedata r:id="rId14" o:title=""/>
                </v:shape>
                <o:OLEObject Type="Embed" ProgID="Equation.3" ShapeID="_x0000_i1028" DrawAspect="Content" ObjectID="_1484379662" r:id="rId15"/>
              </w:object>
            </w:r>
          </w:p>
        </w:tc>
        <w:tc>
          <w:tcPr>
            <w:tcW w:w="1907" w:type="dxa"/>
            <w:vAlign w:val="center"/>
          </w:tcPr>
          <w:p w:rsidR="00B01546" w:rsidRPr="00297FFC" w:rsidRDefault="00B01546" w:rsidP="002A2BFA">
            <w:pPr>
              <w:pStyle w:val="TAC"/>
              <w:rPr>
                <w:rFonts w:cs="v5.0.0"/>
                <w:lang w:eastAsia="en-US"/>
              </w:rPr>
            </w:pPr>
            <w:r w:rsidRPr="00297FFC">
              <w:rPr>
                <w:rFonts w:eastAsia="?? ??" w:cs="v5.0.0"/>
                <w:lang w:eastAsia="en-US"/>
              </w:rPr>
              <w:t>1340 Hz</w:t>
            </w:r>
          </w:p>
        </w:tc>
        <w:tc>
          <w:tcPr>
            <w:tcW w:w="2129" w:type="dxa"/>
            <w:vAlign w:val="center"/>
          </w:tcPr>
          <w:p w:rsidR="00B01546" w:rsidRPr="00297FFC" w:rsidRDefault="00B01546" w:rsidP="002A2BFA">
            <w:pPr>
              <w:pStyle w:val="TAC"/>
              <w:rPr>
                <w:rFonts w:cs="v5.0.0"/>
                <w:lang w:eastAsia="en-US"/>
              </w:rPr>
            </w:pPr>
            <w:r w:rsidRPr="00297FFC">
              <w:rPr>
                <w:rFonts w:eastAsia="?? ??" w:cs="v5.0.0"/>
                <w:lang w:eastAsia="en-US"/>
              </w:rPr>
              <w:t>1150 Hz</w:t>
            </w:r>
          </w:p>
        </w:tc>
      </w:tr>
    </w:tbl>
    <w:p w:rsidR="00B01546" w:rsidRPr="00297FFC" w:rsidRDefault="00B01546" w:rsidP="00B01546">
      <w:pPr>
        <w:pStyle w:val="NO"/>
        <w:rPr>
          <w:rFonts w:eastAsia="?? ??"/>
        </w:rPr>
      </w:pPr>
      <w:r w:rsidRPr="00297FFC">
        <w:rPr>
          <w:rFonts w:eastAsia="?? ??"/>
        </w:rPr>
        <w:t>NOTE1:</w:t>
      </w:r>
      <w:r w:rsidRPr="00297FFC">
        <w:rPr>
          <w:rFonts w:eastAsia="?? ??"/>
        </w:rPr>
        <w:tab/>
      </w:r>
      <w:r w:rsidRPr="00297FFC">
        <w:t xml:space="preserve">Parameters for </w:t>
      </w:r>
      <w:r w:rsidRPr="00297FFC">
        <w:rPr>
          <w:rFonts w:eastAsia="?? ??"/>
        </w:rPr>
        <w:t xml:space="preserve">HST conditions in table B.3-1 including </w:t>
      </w:r>
      <w:r w:rsidRPr="00297FFC">
        <w:rPr>
          <w:szCs w:val="21"/>
        </w:rPr>
        <w:object w:dxaOrig="279" w:dyaOrig="300">
          <v:shape id="_x0000_i1029" type="#_x0000_t75" style="width:16.2pt;height:16.8pt" o:ole="">
            <v:imagedata r:id="rId14" o:title=""/>
          </v:shape>
          <o:OLEObject Type="Embed" ProgID="Equation.3" ShapeID="_x0000_i1029" DrawAspect="Content" ObjectID="_1484379663" r:id="rId16"/>
        </w:object>
      </w:r>
      <w:r w:rsidRPr="00297FFC">
        <w:rPr>
          <w:rFonts w:eastAsia="?? ??"/>
        </w:rPr>
        <w:t xml:space="preserve"> and Doppler shift trajectories presented on figures B.3-1 and B.3-2 were derived from Band1</w:t>
      </w:r>
      <w:r w:rsidRPr="00297FFC">
        <w:rPr>
          <w:rFonts w:hint="eastAsia"/>
          <w:lang w:eastAsia="zh-CN"/>
        </w:rPr>
        <w:t xml:space="preserve"> and </w:t>
      </w:r>
      <w:r w:rsidRPr="00297FFC">
        <w:t>are applied for</w:t>
      </w:r>
      <w:r w:rsidRPr="00297FFC">
        <w:rPr>
          <w:rFonts w:hint="eastAsia"/>
          <w:lang w:eastAsia="zh-CN"/>
        </w:rPr>
        <w:t xml:space="preserve"> performance </w:t>
      </w:r>
      <w:r w:rsidRPr="00297FFC">
        <w:rPr>
          <w:lang w:eastAsia="zh-CN"/>
        </w:rPr>
        <w:t>verification</w:t>
      </w:r>
      <w:r w:rsidRPr="00297FFC">
        <w:rPr>
          <w:rFonts w:hint="eastAsia"/>
          <w:lang w:eastAsia="zh-CN"/>
        </w:rPr>
        <w:t xml:space="preserve"> in </w:t>
      </w:r>
      <w:r w:rsidRPr="00297FFC">
        <w:t>all frequency bands</w:t>
      </w:r>
      <w:r w:rsidRPr="00297FFC">
        <w:rPr>
          <w:rFonts w:eastAsia="?? ??"/>
        </w:rPr>
        <w:t>.</w:t>
      </w:r>
    </w:p>
    <w:p w:rsidR="00671623" w:rsidRDefault="00B01546" w:rsidP="00563EF0">
      <w:pPr>
        <w:jc w:val="both"/>
        <w:rPr>
          <w:lang w:val="en-US"/>
        </w:rPr>
      </w:pPr>
      <w:r>
        <w:rPr>
          <w:lang w:val="en-US"/>
        </w:rPr>
        <w:t>As noted in the specification, the maximum speed of 350 km/h is used to calculate the maximum Doppler shift</w:t>
      </w:r>
      <w:r w:rsidRPr="00B01546">
        <w:rPr>
          <w:position w:val="-12"/>
        </w:rPr>
        <w:object w:dxaOrig="300" w:dyaOrig="360">
          <v:shape id="_x0000_i1030" type="#_x0000_t75" style="width:15pt;height:18pt" o:ole="">
            <v:imagedata r:id="rId17" o:title=""/>
          </v:shape>
          <o:OLEObject Type="Embed" ProgID="Equation.DSMT4" ShapeID="_x0000_i1030" DrawAspect="Content" ObjectID="_1484379664" r:id="rId18"/>
        </w:object>
      </w:r>
      <w:r>
        <w:rPr>
          <w:lang w:val="en-US"/>
        </w:rPr>
        <w:t xml:space="preserve">, which was derived from Band 1.  </w:t>
      </w:r>
      <w:r w:rsidR="00BC26CB">
        <w:rPr>
          <w:lang w:val="en-US"/>
        </w:rPr>
        <w:t xml:space="preserve">The uplink Doppler shift </w:t>
      </w:r>
      <w:r w:rsidR="00BC26CB" w:rsidRPr="00BC26CB">
        <w:rPr>
          <w:position w:val="-12"/>
        </w:rPr>
        <w:object w:dxaOrig="300" w:dyaOrig="360">
          <v:shape id="_x0000_i1031" type="#_x0000_t75" style="width:15pt;height:18pt" o:ole="">
            <v:imagedata r:id="rId19" o:title=""/>
          </v:shape>
          <o:OLEObject Type="Embed" ProgID="Equation.DSMT4" ShapeID="_x0000_i1031" DrawAspect="Content" ObjectID="_1484379665" r:id="rId20"/>
        </w:object>
      </w:r>
      <w:r w:rsidR="00BC26CB">
        <w:rPr>
          <w:lang w:val="en-US"/>
        </w:rPr>
        <w:t xml:space="preserve"> takes account both DL Doppler spread and UL Doppler </w:t>
      </w:r>
      <w:proofErr w:type="gramStart"/>
      <w:r w:rsidR="00BC26CB">
        <w:rPr>
          <w:lang w:val="en-US"/>
        </w:rPr>
        <w:t>spread,</w:t>
      </w:r>
      <w:proofErr w:type="gramEnd"/>
      <w:r w:rsidR="00BC26CB">
        <w:rPr>
          <w:lang w:val="en-US"/>
        </w:rPr>
        <w:t xml:space="preserve"> because UE would use DL reference symbols to track.  </w:t>
      </w:r>
      <w:r w:rsidR="00E7667F">
        <w:rPr>
          <w:lang w:val="en-US"/>
        </w:rPr>
        <w:t xml:space="preserve">The calculation of the UL Doppler shift </w:t>
      </w:r>
      <w:r w:rsidR="00E7667F" w:rsidRPr="00E7667F">
        <w:rPr>
          <w:position w:val="-12"/>
        </w:rPr>
        <w:object w:dxaOrig="300" w:dyaOrig="360">
          <v:shape id="_x0000_i1032" type="#_x0000_t75" style="width:15pt;height:18pt" o:ole="">
            <v:imagedata r:id="rId21" o:title=""/>
          </v:shape>
          <o:OLEObject Type="Embed" ProgID="Equation.DSMT4" ShapeID="_x0000_i1032" DrawAspect="Content" ObjectID="_1484379666" r:id="rId22"/>
        </w:object>
      </w:r>
      <w:r w:rsidR="00E7667F">
        <w:rPr>
          <w:lang w:val="en-US"/>
        </w:rPr>
        <w:t xml:space="preserve"> is based on</w:t>
      </w:r>
    </w:p>
    <w:p w:rsidR="00E7667F" w:rsidRDefault="00E7667F" w:rsidP="00E7667F">
      <w:pPr>
        <w:jc w:val="center"/>
        <w:rPr>
          <w:lang w:val="en-US"/>
        </w:rPr>
      </w:pPr>
      <w:r w:rsidRPr="00E7667F">
        <w:rPr>
          <w:position w:val="-24"/>
        </w:rPr>
        <w:object w:dxaOrig="2460" w:dyaOrig="620">
          <v:shape id="_x0000_i1033" type="#_x0000_t75" style="width:123pt;height:31.2pt" o:ole="">
            <v:imagedata r:id="rId23" o:title=""/>
          </v:shape>
          <o:OLEObject Type="Embed" ProgID="Equation.DSMT4" ShapeID="_x0000_i1033" DrawAspect="Content" ObjectID="_1484379667" r:id="rId24"/>
        </w:object>
      </w:r>
      <w:r>
        <w:rPr>
          <w:lang w:val="en-US"/>
        </w:rPr>
        <w:t>,</w:t>
      </w:r>
    </w:p>
    <w:p w:rsidR="00E7667F" w:rsidRDefault="00E7667F" w:rsidP="00E7667F">
      <w:pPr>
        <w:jc w:val="center"/>
        <w:rPr>
          <w:lang w:val="en-US"/>
        </w:rPr>
      </w:pPr>
      <w:r w:rsidRPr="00E7667F">
        <w:rPr>
          <w:position w:val="-24"/>
        </w:rPr>
        <w:object w:dxaOrig="1359" w:dyaOrig="620">
          <v:shape id="_x0000_i1034" type="#_x0000_t75" style="width:67.8pt;height:31.2pt" o:ole="">
            <v:imagedata r:id="rId25" o:title=""/>
          </v:shape>
          <o:OLEObject Type="Embed" ProgID="Equation.DSMT4" ShapeID="_x0000_i1034" DrawAspect="Content" ObjectID="_1484379668" r:id="rId26"/>
        </w:object>
      </w:r>
      <w:r>
        <w:rPr>
          <w:lang w:val="en-US"/>
        </w:rPr>
        <w:t>,</w:t>
      </w:r>
    </w:p>
    <w:p w:rsidR="00E7667F" w:rsidRDefault="00E7667F" w:rsidP="00563EF0">
      <w:pPr>
        <w:jc w:val="both"/>
        <w:rPr>
          <w:lang w:val="en-US"/>
        </w:rPr>
      </w:pPr>
      <w:proofErr w:type="gramStart"/>
      <w:r>
        <w:rPr>
          <w:lang w:val="en-US"/>
        </w:rPr>
        <w:t>where</w:t>
      </w:r>
      <w:proofErr w:type="gramEnd"/>
      <w:r>
        <w:rPr>
          <w:lang w:val="en-US"/>
        </w:rPr>
        <w:t xml:space="preserve"> </w:t>
      </w:r>
      <w:r w:rsidRPr="00E7667F">
        <w:rPr>
          <w:position w:val="-6"/>
        </w:rPr>
        <w:object w:dxaOrig="180" w:dyaOrig="220">
          <v:shape id="_x0000_i1035" type="#_x0000_t75" style="width:9pt;height:10.8pt" o:ole="">
            <v:imagedata r:id="rId27" o:title=""/>
          </v:shape>
          <o:OLEObject Type="Embed" ProgID="Equation.DSMT4" ShapeID="_x0000_i1035" DrawAspect="Content" ObjectID="_1484379669" r:id="rId28"/>
        </w:object>
      </w:r>
      <w:r>
        <w:rPr>
          <w:lang w:val="en-US"/>
        </w:rPr>
        <w:t xml:space="preserve"> is UE velocity, </w:t>
      </w:r>
      <w:r w:rsidRPr="00E7667F">
        <w:rPr>
          <w:position w:val="-6"/>
        </w:rPr>
        <w:object w:dxaOrig="180" w:dyaOrig="220">
          <v:shape id="_x0000_i1036" type="#_x0000_t75" style="width:9pt;height:10.8pt" o:ole="">
            <v:imagedata r:id="rId29" o:title=""/>
          </v:shape>
          <o:OLEObject Type="Embed" ProgID="Equation.DSMT4" ShapeID="_x0000_i1036" DrawAspect="Content" ObjectID="_1484379670" r:id="rId30"/>
        </w:object>
      </w:r>
      <w:r>
        <w:rPr>
          <w:lang w:val="en-US"/>
        </w:rPr>
        <w:t xml:space="preserve"> is the speed of wave propagation (light speed), </w:t>
      </w:r>
      <w:r w:rsidRPr="00E7667F">
        <w:rPr>
          <w:position w:val="-14"/>
        </w:rPr>
        <w:object w:dxaOrig="480" w:dyaOrig="380">
          <v:shape id="_x0000_i1037" type="#_x0000_t75" style="width:24pt;height:18.6pt" o:ole="">
            <v:imagedata r:id="rId31" o:title=""/>
          </v:shape>
          <o:OLEObject Type="Embed" ProgID="Equation.DSMT4" ShapeID="_x0000_i1037" DrawAspect="Content" ObjectID="_1484379671" r:id="rId32"/>
        </w:object>
      </w:r>
      <w:r>
        <w:rPr>
          <w:lang w:val="en-US"/>
        </w:rPr>
        <w:t xml:space="preserve"> and </w:t>
      </w:r>
      <w:r w:rsidRPr="00E7667F">
        <w:rPr>
          <w:position w:val="-14"/>
        </w:rPr>
        <w:object w:dxaOrig="499" w:dyaOrig="380">
          <v:shape id="_x0000_i1038" type="#_x0000_t75" style="width:24.6pt;height:18.6pt" o:ole="">
            <v:imagedata r:id="rId33" o:title=""/>
          </v:shape>
          <o:OLEObject Type="Embed" ProgID="Equation.DSMT4" ShapeID="_x0000_i1038" DrawAspect="Content" ObjectID="_1484379672" r:id="rId34"/>
        </w:object>
      </w:r>
      <w:r>
        <w:rPr>
          <w:lang w:val="en-US"/>
        </w:rPr>
        <w:t xml:space="preserve"> are UL and DL carrier frequency, respectively, and </w:t>
      </w:r>
      <w:r w:rsidRPr="00E7667F">
        <w:rPr>
          <w:position w:val="-12"/>
        </w:rPr>
        <w:object w:dxaOrig="480" w:dyaOrig="360">
          <v:shape id="_x0000_i1039" type="#_x0000_t75" style="width:24pt;height:18pt" o:ole="">
            <v:imagedata r:id="rId35" o:title=""/>
          </v:shape>
          <o:OLEObject Type="Embed" ProgID="Equation.DSMT4" ShapeID="_x0000_i1039" DrawAspect="Content" ObjectID="_1484379673" r:id="rId36"/>
        </w:object>
      </w:r>
      <w:r>
        <w:rPr>
          <w:lang w:val="en-US"/>
        </w:rPr>
        <w:t xml:space="preserve"> and </w:t>
      </w:r>
      <w:r w:rsidRPr="00E7667F">
        <w:rPr>
          <w:position w:val="-12"/>
        </w:rPr>
        <w:object w:dxaOrig="499" w:dyaOrig="360">
          <v:shape id="_x0000_i1040" type="#_x0000_t75" style="width:24.6pt;height:18pt" o:ole="">
            <v:imagedata r:id="rId37" o:title=""/>
          </v:shape>
          <o:OLEObject Type="Embed" ProgID="Equation.DSMT4" ShapeID="_x0000_i1040" DrawAspect="Content" ObjectID="_1484379674" r:id="rId38"/>
        </w:object>
      </w:r>
      <w:r>
        <w:t>are UL and DL Doppler shifts, respectively.</w:t>
      </w:r>
      <w:r>
        <w:rPr>
          <w:lang w:val="en-US"/>
        </w:rPr>
        <w:t xml:space="preserve"> </w:t>
      </w:r>
    </w:p>
    <w:p w:rsidR="00671623" w:rsidRDefault="00671623" w:rsidP="00563EF0">
      <w:pPr>
        <w:jc w:val="both"/>
        <w:rPr>
          <w:lang w:val="en-US"/>
        </w:rPr>
      </w:pPr>
      <w:r>
        <w:rPr>
          <w:lang w:val="en-US"/>
        </w:rPr>
        <w:t xml:space="preserve">The Doppler shift defined in 36.104 shall be used to specify BS performance for </w:t>
      </w:r>
      <w:r w:rsidR="00E7667F">
        <w:rPr>
          <w:lang w:val="en-US"/>
        </w:rPr>
        <w:t>all frequency</w:t>
      </w:r>
      <w:r>
        <w:rPr>
          <w:lang w:val="en-US"/>
        </w:rPr>
        <w:t xml:space="preserve"> bands.  </w:t>
      </w:r>
      <w:r w:rsidR="00E7667F">
        <w:rPr>
          <w:lang w:val="en-US"/>
        </w:rPr>
        <w:t>With a fixed Doppler shift, the supported maximum speed becomes band dependent, b</w:t>
      </w:r>
      <w:r>
        <w:rPr>
          <w:lang w:val="en-US"/>
        </w:rPr>
        <w:t xml:space="preserve">ecause the supported speed </w:t>
      </w:r>
      <w:r w:rsidR="00E7667F">
        <w:rPr>
          <w:lang w:val="en-US"/>
        </w:rPr>
        <w:t>depends on operating frequency.</w:t>
      </w:r>
    </w:p>
    <w:p w:rsidR="00671623" w:rsidRDefault="00671623" w:rsidP="00563EF0">
      <w:pPr>
        <w:jc w:val="both"/>
        <w:rPr>
          <w:lang w:val="en-US"/>
        </w:rPr>
      </w:pPr>
      <w:r>
        <w:rPr>
          <w:lang w:val="en-US"/>
        </w:rPr>
        <w:t>Based on the equation of uplink Doppler shift, the supported maximum speed of va</w:t>
      </w:r>
      <w:r w:rsidR="009965FA">
        <w:rPr>
          <w:lang w:val="en-US"/>
        </w:rPr>
        <w:t xml:space="preserve">rious LTE FDD </w:t>
      </w:r>
      <w:r w:rsidR="00B0619B">
        <w:rPr>
          <w:lang w:val="en-US"/>
        </w:rPr>
        <w:t xml:space="preserve">and TDD </w:t>
      </w:r>
      <w:r w:rsidR="009965FA">
        <w:rPr>
          <w:lang w:val="en-US"/>
        </w:rPr>
        <w:t>bands are listed in Table 1.</w:t>
      </w:r>
      <w:r w:rsidR="003B1938">
        <w:rPr>
          <w:lang w:val="en-US"/>
        </w:rPr>
        <w:t xml:space="preserve">  </w:t>
      </w:r>
    </w:p>
    <w:p w:rsidR="00155920" w:rsidRDefault="00155920" w:rsidP="00155920">
      <w:pPr>
        <w:pStyle w:val="Caption"/>
        <w:keepNext/>
        <w:jc w:val="center"/>
      </w:pPr>
      <w:r>
        <w:t xml:space="preserve">Table </w:t>
      </w:r>
      <w:fldSimple w:instr=" SEQ Table \* ARABIC ">
        <w:r>
          <w:rPr>
            <w:noProof/>
          </w:rPr>
          <w:t>1</w:t>
        </w:r>
      </w:fldSimple>
      <w:r>
        <w:t xml:space="preserve">    Supported maximum speed of LTE bands with </w:t>
      </w:r>
      <w:r w:rsidR="00C925E1">
        <w:t xml:space="preserve">fixed Doppler shift </w:t>
      </w:r>
      <w:r>
        <w:t>1340Hz</w:t>
      </w:r>
      <w:r w:rsidR="00C925E1">
        <w:t xml:space="preserve"> for UL, and with fixed Doppler shift 750Hz for DL</w:t>
      </w:r>
    </w:p>
    <w:tbl>
      <w:tblPr>
        <w:tblW w:w="0" w:type="auto"/>
        <w:tblInd w:w="78" w:type="dxa"/>
        <w:tblLayout w:type="fixed"/>
        <w:tblLook w:val="0000"/>
      </w:tblPr>
      <w:tblGrid>
        <w:gridCol w:w="992"/>
        <w:gridCol w:w="993"/>
        <w:gridCol w:w="992"/>
        <w:gridCol w:w="993"/>
        <w:gridCol w:w="992"/>
        <w:gridCol w:w="992"/>
        <w:gridCol w:w="993"/>
        <w:gridCol w:w="1376"/>
        <w:gridCol w:w="1228"/>
      </w:tblGrid>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nil"/>
            </w:tcBorders>
          </w:tcPr>
          <w:p w:rsidR="00F0168D" w:rsidRPr="00F0168D" w:rsidRDefault="00F0168D">
            <w:pPr>
              <w:overflowPunct/>
              <w:spacing w:after="0"/>
              <w:jc w:val="center"/>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UL </w:t>
            </w:r>
          </w:p>
        </w:tc>
        <w:tc>
          <w:tcPr>
            <w:tcW w:w="992" w:type="dxa"/>
            <w:tcBorders>
              <w:top w:val="single" w:sz="6" w:space="0" w:color="auto"/>
              <w:left w:val="nil"/>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nil"/>
            </w:tcBorders>
          </w:tcPr>
          <w:p w:rsidR="00F0168D" w:rsidRPr="00F0168D" w:rsidRDefault="00F0168D">
            <w:pPr>
              <w:overflowPunct/>
              <w:spacing w:after="0"/>
              <w:jc w:val="center"/>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DL</w:t>
            </w:r>
          </w:p>
        </w:tc>
        <w:tc>
          <w:tcPr>
            <w:tcW w:w="992" w:type="dxa"/>
            <w:tcBorders>
              <w:top w:val="single" w:sz="6" w:space="0" w:color="auto"/>
              <w:left w:val="nil"/>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nil"/>
            </w:tcBorders>
          </w:tcPr>
          <w:p w:rsidR="00F0168D" w:rsidRPr="00F0168D" w:rsidRDefault="00F0168D">
            <w:pPr>
              <w:overflowPunct/>
              <w:spacing w:after="0"/>
              <w:jc w:val="center"/>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Center </w:t>
            </w:r>
            <w:proofErr w:type="spellStart"/>
            <w:r w:rsidRPr="00F0168D">
              <w:rPr>
                <w:rFonts w:asciiTheme="minorHAnsi" w:hAnsiTheme="minorHAnsi" w:cs="Calibri"/>
                <w:color w:val="000000"/>
                <w:lang w:val="en-US" w:eastAsia="zh-CN"/>
              </w:rPr>
              <w:t>f_c</w:t>
            </w:r>
            <w:proofErr w:type="spellEnd"/>
          </w:p>
        </w:tc>
        <w:tc>
          <w:tcPr>
            <w:tcW w:w="993" w:type="dxa"/>
            <w:tcBorders>
              <w:top w:val="single" w:sz="6" w:space="0" w:color="auto"/>
              <w:left w:val="nil"/>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Calibri"/>
                <w:color w:val="000000"/>
                <w:lang w:val="en-US" w:eastAsia="zh-CN"/>
              </w:rPr>
            </w:pP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UL </w:t>
            </w:r>
            <w:proofErr w:type="spellStart"/>
            <w:r w:rsidRPr="00F0168D">
              <w:rPr>
                <w:rFonts w:asciiTheme="minorHAnsi" w:hAnsiTheme="minorHAnsi" w:cs="Calibri"/>
                <w:color w:val="000000"/>
                <w:lang w:val="en-US" w:eastAsia="zh-CN"/>
              </w:rPr>
              <w:t>fd</w:t>
            </w:r>
            <w:proofErr w:type="spellEnd"/>
            <w:r w:rsidRPr="00F0168D">
              <w:rPr>
                <w:rFonts w:asciiTheme="minorHAnsi" w:hAnsiTheme="minorHAnsi" w:cs="Calibri"/>
                <w:color w:val="000000"/>
                <w:lang w:val="en-US" w:eastAsia="zh-CN"/>
              </w:rPr>
              <w:t>=1340 Hz</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DL </w:t>
            </w:r>
            <w:proofErr w:type="spellStart"/>
            <w:r w:rsidRPr="00F0168D">
              <w:rPr>
                <w:rFonts w:asciiTheme="minorHAnsi" w:hAnsiTheme="minorHAnsi" w:cs="Calibri"/>
                <w:color w:val="000000"/>
                <w:lang w:val="en-US" w:eastAsia="zh-CN"/>
              </w:rPr>
              <w:t>fd</w:t>
            </w:r>
            <w:proofErr w:type="spellEnd"/>
            <w:r w:rsidRPr="00F0168D">
              <w:rPr>
                <w:rFonts w:asciiTheme="minorHAnsi" w:hAnsiTheme="minorHAnsi" w:cs="Calibri"/>
                <w:color w:val="000000"/>
                <w:lang w:val="en-US" w:eastAsia="zh-CN"/>
              </w:rPr>
              <w:t>=750Hz</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LTE Band</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UL_low</w:t>
            </w:r>
            <w:proofErr w:type="spellEnd"/>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UL_high</w:t>
            </w:r>
            <w:proofErr w:type="spellEnd"/>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DL_low</w:t>
            </w:r>
            <w:proofErr w:type="spellEnd"/>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DL_high</w:t>
            </w:r>
            <w:proofErr w:type="spellEnd"/>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UL </w:t>
            </w:r>
            <w:proofErr w:type="spellStart"/>
            <w:r w:rsidRPr="00F0168D">
              <w:rPr>
                <w:rFonts w:asciiTheme="minorHAnsi" w:hAnsiTheme="minorHAnsi" w:cs="Calibri"/>
                <w:color w:val="000000"/>
                <w:lang w:val="en-US" w:eastAsia="zh-CN"/>
              </w:rPr>
              <w:t>fc</w:t>
            </w:r>
            <w:proofErr w:type="spellEnd"/>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 xml:space="preserve">DL </w:t>
            </w:r>
            <w:proofErr w:type="spellStart"/>
            <w:r w:rsidRPr="00F0168D">
              <w:rPr>
                <w:rFonts w:asciiTheme="minorHAnsi" w:hAnsiTheme="minorHAnsi" w:cs="Calibri"/>
                <w:color w:val="000000"/>
                <w:lang w:val="en-US" w:eastAsia="zh-CN"/>
              </w:rPr>
              <w:t>fc</w:t>
            </w:r>
            <w:proofErr w:type="spellEnd"/>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v_m</w:t>
            </w:r>
            <w:proofErr w:type="spellEnd"/>
            <w:r w:rsidRPr="00F0168D">
              <w:rPr>
                <w:rFonts w:asciiTheme="minorHAnsi" w:hAnsiTheme="minorHAnsi" w:cs="Calibri"/>
                <w:color w:val="000000"/>
                <w:lang w:val="en-US" w:eastAsia="zh-CN"/>
              </w:rPr>
              <w:t xml:space="preserve"> (km/hr)</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textAlignment w:val="auto"/>
              <w:rPr>
                <w:rFonts w:asciiTheme="minorHAnsi" w:hAnsiTheme="minorHAnsi" w:cs="Calibri"/>
                <w:color w:val="000000"/>
                <w:lang w:val="en-US" w:eastAsia="zh-CN"/>
              </w:rPr>
            </w:pPr>
            <w:proofErr w:type="spellStart"/>
            <w:r w:rsidRPr="00F0168D">
              <w:rPr>
                <w:rFonts w:asciiTheme="minorHAnsi" w:hAnsiTheme="minorHAnsi" w:cs="Calibri"/>
                <w:color w:val="000000"/>
                <w:lang w:val="en-US" w:eastAsia="zh-CN"/>
              </w:rPr>
              <w:t>v_m</w:t>
            </w:r>
            <w:proofErr w:type="spellEnd"/>
            <w:r w:rsidRPr="00F0168D">
              <w:rPr>
                <w:rFonts w:asciiTheme="minorHAnsi" w:hAnsiTheme="minorHAnsi" w:cs="Calibri"/>
                <w:color w:val="000000"/>
                <w:lang w:val="en-US" w:eastAsia="zh-CN"/>
              </w:rPr>
              <w:t xml:space="preserve"> (km/hr)</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1980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2170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1950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2140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354</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1960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413</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1785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1805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1747.5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1842.5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403</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440</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1755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2155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1732.5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2132.5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374</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380</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824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894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836.5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881.5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842</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919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61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875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885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880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844</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920</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2570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2620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2535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2655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279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305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915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925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960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897.5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942.5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787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859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1785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1845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1767.4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1862.4</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399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435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1770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2170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1740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2140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373</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1428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1448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1476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1496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1437.9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1485.9</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495</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545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699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716</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729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746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707.5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737.5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1002</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1,098</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777</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787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746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782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751</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944</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1,079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788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798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768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793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763</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930</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1,062</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16</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704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716</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734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746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740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998</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1,095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815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875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822.5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867.5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856</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934</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19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875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837.5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882.5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841</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918</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832</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791</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821</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806</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875</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1,005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1448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1463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1496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1511</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1455.4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1503.4</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489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539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3490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3450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3550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228</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2200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2190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345</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370</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1627</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1661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1525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1559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1643.5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1542</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454</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525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1995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1882.5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1962.5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376</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413</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26</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814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859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894</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831.5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876.5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847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924</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807</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824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852</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869</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815.5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860.5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863</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941</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703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748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803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725.5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780.5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961</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1,038</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29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n/a</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717</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728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722.5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1,121</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2305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2315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2360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2355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310</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344</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453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458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463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468</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455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465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1573</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1,742</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lastRenderedPageBreak/>
              <w:t>32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n/a</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1452</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1496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1474</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550</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424</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2025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2025</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2017.5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2017.5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401</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1850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385</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431</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36</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1990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1960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1960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369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413</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37</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1910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1930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422</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38</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2570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2570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2620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2595</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2595</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279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312</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39</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1880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1920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1900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381</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426</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2400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2400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2350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2350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308</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345</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41</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2496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2690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2496</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2690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2593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2593</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279</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312</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42</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3600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3400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3600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3500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207</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231</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3600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3800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3600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3800</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3700</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3700</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196</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219</w:t>
            </w:r>
          </w:p>
        </w:tc>
      </w:tr>
      <w:tr w:rsidR="00F0168D" w:rsidRPr="00F0168D" w:rsidTr="00F0168D">
        <w:trPr>
          <w:trHeight w:val="287"/>
        </w:trPr>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center"/>
              <w:textAlignment w:val="auto"/>
              <w:rPr>
                <w:rFonts w:asciiTheme="minorHAnsi" w:hAnsiTheme="minorHAnsi" w:cs="Arial"/>
                <w:color w:val="000000"/>
                <w:lang w:val="en-US" w:eastAsia="zh-CN"/>
              </w:rPr>
            </w:pPr>
            <w:r w:rsidRPr="00F0168D">
              <w:rPr>
                <w:rFonts w:asciiTheme="minorHAnsi" w:hAnsiTheme="minorHAnsi" w:cs="Arial"/>
                <w:color w:val="000000"/>
                <w:lang w:val="en-US" w:eastAsia="zh-CN"/>
              </w:rPr>
              <w:t>44</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703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803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703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803</w:t>
            </w:r>
          </w:p>
        </w:tc>
        <w:tc>
          <w:tcPr>
            <w:tcW w:w="992"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753</w:t>
            </w:r>
          </w:p>
        </w:tc>
        <w:tc>
          <w:tcPr>
            <w:tcW w:w="993" w:type="dxa"/>
            <w:tcBorders>
              <w:top w:val="single" w:sz="6" w:space="0" w:color="auto"/>
              <w:left w:val="single" w:sz="6" w:space="0" w:color="auto"/>
              <w:bottom w:val="single" w:sz="6" w:space="0" w:color="auto"/>
              <w:right w:val="single" w:sz="6" w:space="0" w:color="auto"/>
            </w:tcBorders>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753</w:t>
            </w:r>
          </w:p>
        </w:tc>
        <w:tc>
          <w:tcPr>
            <w:tcW w:w="1376"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961</w:t>
            </w:r>
          </w:p>
        </w:tc>
        <w:tc>
          <w:tcPr>
            <w:tcW w:w="1228" w:type="dxa"/>
            <w:tcBorders>
              <w:top w:val="single" w:sz="6" w:space="0" w:color="auto"/>
              <w:left w:val="single" w:sz="6" w:space="0" w:color="auto"/>
              <w:bottom w:val="single" w:sz="6" w:space="0" w:color="auto"/>
              <w:right w:val="single" w:sz="6" w:space="0" w:color="auto"/>
            </w:tcBorders>
            <w:shd w:val="solid" w:color="CCCCFF" w:fill="auto"/>
          </w:tcPr>
          <w:p w:rsidR="00F0168D" w:rsidRPr="00F0168D" w:rsidRDefault="00F0168D">
            <w:pPr>
              <w:overflowPunct/>
              <w:spacing w:after="0"/>
              <w:jc w:val="right"/>
              <w:textAlignment w:val="auto"/>
              <w:rPr>
                <w:rFonts w:asciiTheme="minorHAnsi" w:hAnsiTheme="minorHAnsi" w:cs="Calibri"/>
                <w:color w:val="000000"/>
                <w:lang w:val="en-US" w:eastAsia="zh-CN"/>
              </w:rPr>
            </w:pPr>
            <w:r w:rsidRPr="00F0168D">
              <w:rPr>
                <w:rFonts w:asciiTheme="minorHAnsi" w:hAnsiTheme="minorHAnsi" w:cs="Calibri"/>
                <w:color w:val="000000"/>
                <w:lang w:val="en-US" w:eastAsia="zh-CN"/>
              </w:rPr>
              <w:t>1,076</w:t>
            </w:r>
          </w:p>
        </w:tc>
      </w:tr>
    </w:tbl>
    <w:p w:rsidR="00155920" w:rsidRDefault="00155920" w:rsidP="00563EF0">
      <w:pPr>
        <w:jc w:val="both"/>
        <w:rPr>
          <w:lang w:val="en-US"/>
        </w:rPr>
      </w:pPr>
    </w:p>
    <w:p w:rsidR="00671623" w:rsidRDefault="009965FA" w:rsidP="00563EF0">
      <w:pPr>
        <w:jc w:val="both"/>
        <w:rPr>
          <w:lang w:val="en-US"/>
        </w:rPr>
      </w:pPr>
      <w:r>
        <w:rPr>
          <w:lang w:val="en-US"/>
        </w:rPr>
        <w:t>For UL, the Doppler shif</w:t>
      </w:r>
      <w:r w:rsidR="00366D8C">
        <w:rPr>
          <w:lang w:val="en-US"/>
        </w:rPr>
        <w:t xml:space="preserve">t uses the fixed </w:t>
      </w:r>
      <w:proofErr w:type="spellStart"/>
      <w:r w:rsidR="00366D8C">
        <w:rPr>
          <w:lang w:val="en-US"/>
        </w:rPr>
        <w:t>f_d</w:t>
      </w:r>
      <w:proofErr w:type="spellEnd"/>
      <w:r w:rsidR="00366D8C">
        <w:rPr>
          <w:lang w:val="en-US"/>
        </w:rPr>
        <w:t xml:space="preserve"> = 1340Hz for all LTE FDD bands shown in the table.  The lower the carrier frequency, with fixed Doppler shift, the higher maximum speed the LTE band can support.</w:t>
      </w:r>
      <w:r w:rsidR="003B1938">
        <w:rPr>
          <w:lang w:val="en-US"/>
        </w:rPr>
        <w:t xml:space="preserve">  For band less than 2GHz, the current specified Doppler shift can support speed greater than 350km/hr.  The exceptions are high bands with carrier frequency greater than 2GHz, such as Band 7, Band 22, Band 30, Band 38, Band 40, Band 41, Band 42, and Band 43.</w:t>
      </w:r>
    </w:p>
    <w:p w:rsidR="00671623" w:rsidRDefault="00671623" w:rsidP="00563EF0">
      <w:pPr>
        <w:jc w:val="both"/>
        <w:rPr>
          <w:lang w:val="en-US"/>
        </w:rPr>
      </w:pPr>
      <w:r>
        <w:rPr>
          <w:lang w:val="en-US"/>
        </w:rPr>
        <w:t xml:space="preserve">Based on the table, the motivation </w:t>
      </w:r>
      <w:r w:rsidRPr="00671623">
        <w:rPr>
          <w:lang w:val="en-US"/>
        </w:rPr>
        <w:t xml:space="preserve">to support higher Doppler shift than Rel-12 </w:t>
      </w:r>
      <w:r>
        <w:rPr>
          <w:lang w:val="en-US"/>
        </w:rPr>
        <w:t>Doppler shift</w:t>
      </w:r>
      <w:r w:rsidRPr="00671623">
        <w:rPr>
          <w:lang w:val="en-US"/>
        </w:rPr>
        <w:t xml:space="preserve"> is not very strong</w:t>
      </w:r>
      <w:r w:rsidR="00185ADE">
        <w:rPr>
          <w:lang w:val="en-US"/>
        </w:rPr>
        <w:t xml:space="preserve"> for carrier frequency less than 2GHz</w:t>
      </w:r>
      <w:r w:rsidRPr="00671623">
        <w:rPr>
          <w:lang w:val="en-US"/>
        </w:rPr>
        <w:t>, because low LTE bands can supp</w:t>
      </w:r>
      <w:r w:rsidR="005F522B">
        <w:rPr>
          <w:lang w:val="en-US"/>
        </w:rPr>
        <w:t xml:space="preserve">ort speed greater than 350km/hr.  </w:t>
      </w:r>
      <w:r w:rsidR="00185ADE">
        <w:rPr>
          <w:lang w:val="en-US"/>
        </w:rPr>
        <w:t xml:space="preserve">For high frequency bands, the question to operators is whether there are intentions to extend these high bands to support high speed train scenarios.  </w:t>
      </w:r>
      <w:r w:rsidR="00B0619B">
        <w:rPr>
          <w:lang w:val="en-US"/>
        </w:rPr>
        <w:t>Some of these high bands are likely to support small cell coverage, and specification of high speed train support for small cell coverage won’t be necessary.</w:t>
      </w:r>
    </w:p>
    <w:p w:rsidR="00D44ADA" w:rsidRDefault="004C186C" w:rsidP="00563EF0">
      <w:pPr>
        <w:jc w:val="both"/>
        <w:rPr>
          <w:b/>
          <w:i/>
          <w:lang w:val="en-US"/>
        </w:rPr>
      </w:pPr>
      <w:r w:rsidRPr="00761F1F">
        <w:rPr>
          <w:b/>
          <w:i/>
          <w:lang w:val="en-US"/>
        </w:rPr>
        <w:t xml:space="preserve">Observation: </w:t>
      </w:r>
      <w:r w:rsidR="00B0619B" w:rsidRPr="00761F1F">
        <w:rPr>
          <w:b/>
          <w:i/>
          <w:lang w:val="en-US"/>
        </w:rPr>
        <w:t>H</w:t>
      </w:r>
      <w:r w:rsidRPr="00761F1F">
        <w:rPr>
          <w:b/>
          <w:i/>
          <w:lang w:val="en-US"/>
        </w:rPr>
        <w:t>igher Doppler shift is supported for speed greater than 350km/hr in all bands with frequency less than 2GHz.</w:t>
      </w:r>
      <w:r w:rsidRPr="004C186C">
        <w:rPr>
          <w:b/>
          <w:i/>
          <w:lang w:val="en-US"/>
        </w:rPr>
        <w:t xml:space="preserve">  </w:t>
      </w:r>
    </w:p>
    <w:p w:rsidR="002C0CC4" w:rsidRDefault="002C0CC4" w:rsidP="00563EF0">
      <w:pPr>
        <w:jc w:val="both"/>
        <w:rPr>
          <w:b/>
          <w:i/>
          <w:lang w:val="en-US"/>
        </w:rPr>
      </w:pPr>
      <w:r>
        <w:rPr>
          <w:b/>
          <w:i/>
          <w:lang w:val="en-US"/>
        </w:rPr>
        <w:t>Observation: The exception bands to support 350km/hr are high bands with frequency greater than 2GHz, such as Band 7, Band 22, Band 30, Band 38, Band 40, Band 41, Band 42 and Band 43.</w:t>
      </w:r>
    </w:p>
    <w:p w:rsidR="00B0619B" w:rsidRPr="00B0619B" w:rsidRDefault="007E116B" w:rsidP="00563EF0">
      <w:pPr>
        <w:jc w:val="both"/>
        <w:rPr>
          <w:b/>
          <w:i/>
          <w:lang w:val="en-US"/>
        </w:rPr>
      </w:pPr>
      <w:r>
        <w:rPr>
          <w:b/>
          <w:i/>
          <w:lang w:val="en-US"/>
        </w:rPr>
        <w:t>Proposal 1</w:t>
      </w:r>
      <w:r w:rsidR="00B0619B">
        <w:rPr>
          <w:b/>
          <w:i/>
          <w:lang w:val="en-US"/>
        </w:rPr>
        <w:t>: Operators shall provide inputs on their intentions to support HST for specific high frequency bands.</w:t>
      </w:r>
    </w:p>
    <w:p w:rsidR="00671623" w:rsidRDefault="00671623" w:rsidP="00671623">
      <w:pPr>
        <w:pStyle w:val="Heading3"/>
        <w:jc w:val="both"/>
        <w:rPr>
          <w:kern w:val="2"/>
          <w:lang w:val="en-US"/>
        </w:rPr>
      </w:pPr>
      <w:r>
        <w:rPr>
          <w:kern w:val="2"/>
          <w:lang w:val="en-US"/>
        </w:rPr>
        <w:t>3</w:t>
      </w:r>
      <w:r>
        <w:rPr>
          <w:kern w:val="2"/>
          <w:lang w:val="en-US"/>
        </w:rPr>
        <w:tab/>
        <w:t>UE performance for high speed scenarios</w:t>
      </w:r>
    </w:p>
    <w:p w:rsidR="00FA3471" w:rsidRDefault="00671623" w:rsidP="00A71E70">
      <w:pPr>
        <w:jc w:val="both"/>
        <w:rPr>
          <w:lang w:val="en-US"/>
        </w:rPr>
      </w:pPr>
      <w:r>
        <w:rPr>
          <w:lang w:val="en-US"/>
        </w:rPr>
        <w:t xml:space="preserve">Similar exercise can be carried out to calculate the band-specific maximum speed with the fixed maximum Doppler </w:t>
      </w:r>
      <w:r w:rsidR="005F522B">
        <w:rPr>
          <w:lang w:val="en-US"/>
        </w:rPr>
        <w:t>shift.  For DL, based on 36.101, the maximum Doppler shift is 750Hz, as listed in Table B.3-1 of 36.101</w:t>
      </w:r>
    </w:p>
    <w:p w:rsidR="005F522B" w:rsidRPr="006B1055" w:rsidRDefault="005F522B" w:rsidP="005F522B">
      <w:pPr>
        <w:pStyle w:val="TH"/>
      </w:pPr>
      <w:r w:rsidRPr="006B1055">
        <w:t>Table B.3-1: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2"/>
        <w:gridCol w:w="1377"/>
      </w:tblGrid>
      <w:tr w:rsidR="005F522B" w:rsidRPr="006B1055" w:rsidTr="002A2BFA">
        <w:trPr>
          <w:trHeight w:val="240"/>
          <w:jc w:val="center"/>
        </w:trPr>
        <w:tc>
          <w:tcPr>
            <w:tcW w:w="1512" w:type="dxa"/>
            <w:tcBorders>
              <w:bottom w:val="nil"/>
            </w:tcBorders>
            <w:vAlign w:val="center"/>
          </w:tcPr>
          <w:p w:rsidR="005F522B" w:rsidRPr="006B1055" w:rsidRDefault="005F522B" w:rsidP="002A2BFA">
            <w:pPr>
              <w:pStyle w:val="TAH"/>
              <w:rPr>
                <w:rFonts w:eastAsia="?? ??" w:cs="v5.0.0"/>
              </w:rPr>
            </w:pPr>
            <w:r w:rsidRPr="006B1055">
              <w:rPr>
                <w:rFonts w:eastAsia="?? ??" w:cs="v5.0.0"/>
              </w:rPr>
              <w:t>Parameter</w:t>
            </w:r>
          </w:p>
        </w:tc>
        <w:tc>
          <w:tcPr>
            <w:tcW w:w="1377" w:type="dxa"/>
            <w:tcBorders>
              <w:bottom w:val="nil"/>
            </w:tcBorders>
            <w:vAlign w:val="center"/>
          </w:tcPr>
          <w:p w:rsidR="005F522B" w:rsidRPr="006B1055" w:rsidRDefault="005F522B" w:rsidP="002A2BFA">
            <w:pPr>
              <w:pStyle w:val="TAH"/>
              <w:rPr>
                <w:rFonts w:eastAsia="?? ??" w:cs="v5.0.0"/>
              </w:rPr>
            </w:pPr>
            <w:r w:rsidRPr="006B1055">
              <w:rPr>
                <w:rFonts w:cs="v5.0.0"/>
              </w:rPr>
              <w:t>Value</w:t>
            </w:r>
          </w:p>
        </w:tc>
      </w:tr>
      <w:tr w:rsidR="005F522B" w:rsidRPr="006B1055" w:rsidTr="002A2BFA">
        <w:trPr>
          <w:cantSplit/>
          <w:trHeight w:val="70"/>
          <w:jc w:val="center"/>
        </w:trPr>
        <w:tc>
          <w:tcPr>
            <w:tcW w:w="1512" w:type="dxa"/>
            <w:vAlign w:val="center"/>
          </w:tcPr>
          <w:p w:rsidR="005F522B" w:rsidRPr="006B1055" w:rsidRDefault="005F522B" w:rsidP="002A2BFA">
            <w:pPr>
              <w:pStyle w:val="TAC"/>
              <w:rPr>
                <w:rFonts w:cs="v5.0.0"/>
              </w:rPr>
            </w:pPr>
            <w:r w:rsidRPr="006B1055">
              <w:rPr>
                <w:position w:val="-10"/>
              </w:rPr>
              <w:object w:dxaOrig="300" w:dyaOrig="320">
                <v:shape id="_x0000_i1041" type="#_x0000_t75" style="width:16.8pt;height:18pt" o:ole="">
                  <v:imagedata r:id="rId8" o:title=""/>
                </v:shape>
                <o:OLEObject Type="Embed" ProgID="Equation.3" ShapeID="_x0000_i1041" DrawAspect="Content" ObjectID="_1484379675" r:id="rId39"/>
              </w:object>
            </w:r>
          </w:p>
        </w:tc>
        <w:tc>
          <w:tcPr>
            <w:tcW w:w="1377" w:type="dxa"/>
            <w:vAlign w:val="center"/>
          </w:tcPr>
          <w:p w:rsidR="005F522B" w:rsidRPr="006B1055" w:rsidRDefault="005F522B" w:rsidP="002A2BFA">
            <w:pPr>
              <w:pStyle w:val="TAC"/>
              <w:rPr>
                <w:rFonts w:eastAsia="?? ??" w:cs="v5.0.0"/>
              </w:rPr>
            </w:pPr>
            <w:r w:rsidRPr="006B1055">
              <w:rPr>
                <w:rFonts w:eastAsia="?? ??" w:cs="v5.0.0"/>
              </w:rPr>
              <w:t>300 m</w:t>
            </w:r>
          </w:p>
        </w:tc>
      </w:tr>
      <w:tr w:rsidR="005F522B" w:rsidRPr="006B1055" w:rsidTr="002A2BFA">
        <w:trPr>
          <w:cantSplit/>
          <w:trHeight w:val="70"/>
          <w:jc w:val="center"/>
        </w:trPr>
        <w:tc>
          <w:tcPr>
            <w:tcW w:w="1512" w:type="dxa"/>
            <w:vAlign w:val="center"/>
          </w:tcPr>
          <w:p w:rsidR="005F522B" w:rsidRPr="006B1055" w:rsidRDefault="005F522B" w:rsidP="002A2BFA">
            <w:pPr>
              <w:pStyle w:val="TAC"/>
            </w:pPr>
            <w:r w:rsidRPr="006B1055">
              <w:rPr>
                <w:position w:val="-10"/>
              </w:rPr>
              <w:object w:dxaOrig="460" w:dyaOrig="300">
                <v:shape id="_x0000_i1042" type="#_x0000_t75" style="width:26.4pt;height:16.8pt" o:ole="">
                  <v:imagedata r:id="rId10" o:title=""/>
                </v:shape>
                <o:OLEObject Type="Embed" ProgID="Equation.3" ShapeID="_x0000_i1042" DrawAspect="Content" ObjectID="_1484379676" r:id="rId40"/>
              </w:object>
            </w:r>
          </w:p>
        </w:tc>
        <w:tc>
          <w:tcPr>
            <w:tcW w:w="1377" w:type="dxa"/>
            <w:vAlign w:val="center"/>
          </w:tcPr>
          <w:p w:rsidR="005F522B" w:rsidRPr="006B1055" w:rsidRDefault="005F522B" w:rsidP="002A2BFA">
            <w:pPr>
              <w:pStyle w:val="TAC"/>
              <w:rPr>
                <w:rFonts w:eastAsia="?? ??" w:cs="v5.0.0"/>
              </w:rPr>
            </w:pPr>
            <w:r w:rsidRPr="006B1055">
              <w:rPr>
                <w:rFonts w:eastAsia="?? ??" w:cs="v5.0.0"/>
              </w:rPr>
              <w:t>2 m</w:t>
            </w:r>
          </w:p>
        </w:tc>
      </w:tr>
      <w:tr w:rsidR="005F522B" w:rsidRPr="006B1055" w:rsidTr="002A2BFA">
        <w:trPr>
          <w:cantSplit/>
          <w:trHeight w:val="70"/>
          <w:jc w:val="center"/>
        </w:trPr>
        <w:tc>
          <w:tcPr>
            <w:tcW w:w="1512" w:type="dxa"/>
            <w:vAlign w:val="center"/>
          </w:tcPr>
          <w:p w:rsidR="005F522B" w:rsidRPr="006B1055" w:rsidRDefault="005F522B" w:rsidP="002A2BFA">
            <w:pPr>
              <w:pStyle w:val="TAC"/>
            </w:pPr>
            <w:r w:rsidRPr="006B1055">
              <w:rPr>
                <w:snapToGrid w:val="0"/>
                <w:position w:val="-6"/>
                <w:szCs w:val="21"/>
              </w:rPr>
              <w:object w:dxaOrig="160" w:dyaOrig="200">
                <v:shape id="_x0000_i1043" type="#_x0000_t75" style="width:10.2pt;height:10.8pt" o:ole="">
                  <v:imagedata r:id="rId12" o:title=""/>
                </v:shape>
                <o:OLEObject Type="Embed" ProgID="Equation.3" ShapeID="_x0000_i1043" DrawAspect="Content" ObjectID="_1484379677" r:id="rId41"/>
              </w:object>
            </w:r>
          </w:p>
        </w:tc>
        <w:tc>
          <w:tcPr>
            <w:tcW w:w="1377" w:type="dxa"/>
            <w:vAlign w:val="center"/>
          </w:tcPr>
          <w:p w:rsidR="005F522B" w:rsidRPr="006B1055" w:rsidRDefault="005F522B" w:rsidP="002A2BFA">
            <w:pPr>
              <w:pStyle w:val="TAC"/>
              <w:rPr>
                <w:rFonts w:eastAsia="?? ??" w:cs="v5.0.0"/>
              </w:rPr>
            </w:pPr>
            <w:r w:rsidRPr="006B1055">
              <w:rPr>
                <w:rFonts w:eastAsia="?? ??" w:cs="v5.0.0"/>
              </w:rPr>
              <w:t>300 km/h</w:t>
            </w:r>
          </w:p>
        </w:tc>
      </w:tr>
      <w:tr w:rsidR="005F522B" w:rsidRPr="006B1055" w:rsidTr="002A2BFA">
        <w:trPr>
          <w:cantSplit/>
          <w:trHeight w:val="70"/>
          <w:jc w:val="center"/>
        </w:trPr>
        <w:tc>
          <w:tcPr>
            <w:tcW w:w="1512" w:type="dxa"/>
            <w:vAlign w:val="center"/>
          </w:tcPr>
          <w:p w:rsidR="005F522B" w:rsidRPr="006B1055" w:rsidRDefault="005F522B" w:rsidP="002A2BFA">
            <w:pPr>
              <w:pStyle w:val="TAC"/>
            </w:pPr>
            <w:r w:rsidRPr="006B1055">
              <w:rPr>
                <w:snapToGrid w:val="0"/>
                <w:position w:val="-10"/>
                <w:szCs w:val="21"/>
              </w:rPr>
              <w:object w:dxaOrig="279" w:dyaOrig="300">
                <v:shape id="_x0000_i1044" type="#_x0000_t75" style="width:16.2pt;height:16.8pt" o:ole="">
                  <v:imagedata r:id="rId14" o:title=""/>
                </v:shape>
                <o:OLEObject Type="Embed" ProgID="Equation.3" ShapeID="_x0000_i1044" DrawAspect="Content" ObjectID="_1484379678" r:id="rId42"/>
              </w:object>
            </w:r>
          </w:p>
        </w:tc>
        <w:tc>
          <w:tcPr>
            <w:tcW w:w="1377" w:type="dxa"/>
            <w:vAlign w:val="center"/>
          </w:tcPr>
          <w:p w:rsidR="005F522B" w:rsidRPr="006B1055" w:rsidRDefault="005F522B" w:rsidP="002A2BFA">
            <w:pPr>
              <w:pStyle w:val="TAC"/>
              <w:rPr>
                <w:rFonts w:eastAsia="?? ??" w:cs="v5.0.0"/>
              </w:rPr>
            </w:pPr>
            <w:r w:rsidRPr="006B1055">
              <w:rPr>
                <w:rFonts w:eastAsia="?? ??" w:cs="v5.0.0"/>
              </w:rPr>
              <w:t>750 Hz</w:t>
            </w:r>
          </w:p>
        </w:tc>
      </w:tr>
    </w:tbl>
    <w:p w:rsidR="005F522B" w:rsidRDefault="005F522B" w:rsidP="00A71E70">
      <w:pPr>
        <w:jc w:val="both"/>
        <w:rPr>
          <w:lang w:val="en-US"/>
        </w:rPr>
      </w:pPr>
    </w:p>
    <w:p w:rsidR="00671623" w:rsidRDefault="005F522B" w:rsidP="00A71E70">
      <w:pPr>
        <w:jc w:val="both"/>
        <w:rPr>
          <w:lang w:val="en-US"/>
        </w:rPr>
      </w:pPr>
      <w:r>
        <w:rPr>
          <w:lang w:val="en-US"/>
        </w:rPr>
        <w:t xml:space="preserve">With fixed Doppler shift of </w:t>
      </w:r>
      <w:proofErr w:type="spellStart"/>
      <w:r>
        <w:rPr>
          <w:lang w:val="en-US"/>
        </w:rPr>
        <w:t>f_d</w:t>
      </w:r>
      <w:proofErr w:type="spellEnd"/>
      <w:r>
        <w:rPr>
          <w:lang w:val="en-US"/>
        </w:rPr>
        <w:t xml:space="preserve"> = 750Hz, the supported DL maximum speed of all LTE FDD</w:t>
      </w:r>
      <w:r w:rsidR="00B0619B">
        <w:rPr>
          <w:lang w:val="en-US"/>
        </w:rPr>
        <w:t xml:space="preserve"> and TDD</w:t>
      </w:r>
      <w:r>
        <w:rPr>
          <w:lang w:val="en-US"/>
        </w:rPr>
        <w:t xml:space="preserve"> bands are also listed in Table 1.  Based on the table, all bands </w:t>
      </w:r>
      <w:r w:rsidR="00B0619B">
        <w:rPr>
          <w:lang w:val="en-US"/>
        </w:rPr>
        <w:t xml:space="preserve">with frequency less than 2GHz </w:t>
      </w:r>
      <w:r>
        <w:rPr>
          <w:lang w:val="en-US"/>
        </w:rPr>
        <w:t>can support speed as high as 350km/hr.</w:t>
      </w:r>
      <w:r w:rsidR="00B0619B">
        <w:rPr>
          <w:lang w:val="en-US"/>
        </w:rPr>
        <w:t xml:space="preserve">  The exceptions are Band 7, Band 22, Band 30, Band 38, Band 40, Band 41, Band 42, and Band 43.</w:t>
      </w:r>
    </w:p>
    <w:p w:rsidR="00E02665" w:rsidRDefault="00E02665" w:rsidP="00E02665">
      <w:pPr>
        <w:jc w:val="both"/>
        <w:rPr>
          <w:lang w:val="en-US"/>
        </w:rPr>
      </w:pPr>
      <w:r>
        <w:rPr>
          <w:lang w:val="en-US"/>
        </w:rPr>
        <w:t xml:space="preserve">For UE RRM, there were already some discussions taking place under TEI12 and some agreements have been made. The accuracy requirements of absolute RSRP/RSRQ measurement under high Doppler have been captured in the latest version of 36.133 specification, where a relaxation for fading channel over AWGN channel is introduced with the fading channel modeling (EVA300) as part of the side conditions; the methodology to derive relative accuracy requirements from simulations remains under discussion. </w:t>
      </w:r>
      <w:r w:rsidR="003E621E">
        <w:rPr>
          <w:lang w:val="en-US"/>
        </w:rPr>
        <w:t>It is better to clarify if the remaining work will be carried out still under TEI12 or under this new SI.</w:t>
      </w:r>
    </w:p>
    <w:p w:rsidR="00E02665" w:rsidRDefault="003E621E" w:rsidP="00E02665">
      <w:pPr>
        <w:jc w:val="both"/>
        <w:rPr>
          <w:lang w:val="en-US"/>
        </w:rPr>
      </w:pPr>
      <w:r>
        <w:rPr>
          <w:lang w:val="en-US"/>
        </w:rPr>
        <w:lastRenderedPageBreak/>
        <w:t>It should be noted that many simulation results showed that EVA300 is more demanding for the measurement accuracy then EVA600, which implies that the higher speed may not necessarily lead to additional accuracy requirements. Also no</w:t>
      </w:r>
      <w:r w:rsidR="00E02665">
        <w:rPr>
          <w:lang w:val="en-US"/>
        </w:rPr>
        <w:t xml:space="preserve"> consensus was reached during the early RAN4 discussions whether </w:t>
      </w:r>
      <w:r>
        <w:rPr>
          <w:lang w:val="en-US"/>
        </w:rPr>
        <w:t>adaptations/enhancements</w:t>
      </w:r>
      <w:r w:rsidR="00E02665">
        <w:rPr>
          <w:lang w:val="en-US"/>
        </w:rPr>
        <w:t xml:space="preserve"> for other RRM aspects are needed in existing high speed scenarios.</w:t>
      </w:r>
      <w:r>
        <w:rPr>
          <w:lang w:val="en-US"/>
        </w:rPr>
        <w:t xml:space="preserve"> Since higher speed (350km/h or beyond) has not been carefully addressed, we think further investigations are needed. </w:t>
      </w:r>
      <w:r w:rsidR="00E02665">
        <w:rPr>
          <w:lang w:val="en-US"/>
        </w:rPr>
        <w:t xml:space="preserve">    </w:t>
      </w:r>
    </w:p>
    <w:p w:rsidR="00133CA5" w:rsidRPr="007E116B" w:rsidRDefault="004C186C" w:rsidP="00A71E70">
      <w:pPr>
        <w:jc w:val="both"/>
        <w:rPr>
          <w:b/>
          <w:i/>
          <w:lang w:val="en-US"/>
        </w:rPr>
      </w:pPr>
      <w:r w:rsidRPr="004C186C">
        <w:rPr>
          <w:b/>
          <w:i/>
          <w:lang w:val="en-US"/>
        </w:rPr>
        <w:t>Proposal</w:t>
      </w:r>
      <w:r w:rsidR="007E116B">
        <w:rPr>
          <w:b/>
          <w:i/>
          <w:lang w:val="en-US"/>
        </w:rPr>
        <w:t xml:space="preserve"> 2</w:t>
      </w:r>
      <w:r w:rsidRPr="004C186C">
        <w:rPr>
          <w:b/>
          <w:i/>
          <w:lang w:val="en-US"/>
        </w:rPr>
        <w:t xml:space="preserve">: RAN4 should clarify the work plan for the high Doppler RRM under TEI12 and the new SI. </w:t>
      </w:r>
    </w:p>
    <w:p w:rsidR="00E02665" w:rsidRPr="007E116B" w:rsidRDefault="004C186C" w:rsidP="00A71E70">
      <w:pPr>
        <w:jc w:val="both"/>
        <w:rPr>
          <w:b/>
          <w:i/>
          <w:lang w:val="en-US"/>
        </w:rPr>
      </w:pPr>
      <w:r w:rsidRPr="004C186C">
        <w:rPr>
          <w:b/>
          <w:i/>
          <w:lang w:val="en-US"/>
        </w:rPr>
        <w:t>Proposal</w:t>
      </w:r>
      <w:r w:rsidR="007E116B">
        <w:rPr>
          <w:b/>
          <w:i/>
          <w:lang w:val="en-US"/>
        </w:rPr>
        <w:t xml:space="preserve"> 3</w:t>
      </w:r>
      <w:r w:rsidRPr="004C186C">
        <w:rPr>
          <w:b/>
          <w:i/>
          <w:lang w:val="en-US"/>
        </w:rPr>
        <w:t xml:space="preserve">: Investigations on all RRM aspects including the measurement accuracy are needed for higher speed (350km/h or beyond) in existing high speed scenarios before making decisions on RRM requirement enhancement.   </w:t>
      </w:r>
    </w:p>
    <w:p w:rsidR="00671623" w:rsidRDefault="00671623" w:rsidP="00A71E70">
      <w:pPr>
        <w:jc w:val="both"/>
        <w:rPr>
          <w:lang w:val="en-US"/>
        </w:rPr>
      </w:pPr>
      <w:r>
        <w:rPr>
          <w:lang w:val="en-US"/>
        </w:rPr>
        <w:t>The SID is asking two enhancements for UE requirements:</w:t>
      </w:r>
    </w:p>
    <w:p w:rsidR="00671623" w:rsidRDefault="00671623" w:rsidP="002A2BFA">
      <w:pPr>
        <w:numPr>
          <w:ilvl w:val="0"/>
          <w:numId w:val="1"/>
        </w:numPr>
        <w:jc w:val="both"/>
        <w:rPr>
          <w:lang w:val="en-US"/>
        </w:rPr>
      </w:pPr>
      <w:r>
        <w:rPr>
          <w:lang w:val="en-US"/>
        </w:rPr>
        <w:t>UE velocity at least up to 350km/h</w:t>
      </w:r>
    </w:p>
    <w:p w:rsidR="00671623" w:rsidRDefault="00671623" w:rsidP="002A2BFA">
      <w:pPr>
        <w:numPr>
          <w:ilvl w:val="0"/>
          <w:numId w:val="1"/>
        </w:numPr>
        <w:jc w:val="both"/>
        <w:rPr>
          <w:lang w:val="en-US"/>
        </w:rPr>
      </w:pPr>
      <w:r>
        <w:rPr>
          <w:lang w:val="en-US"/>
        </w:rPr>
        <w:t>UE velocity above 350km/h</w:t>
      </w:r>
    </w:p>
    <w:p w:rsidR="00671623" w:rsidRDefault="00933D97" w:rsidP="00671623">
      <w:pPr>
        <w:jc w:val="both"/>
        <w:rPr>
          <w:lang w:val="en-US"/>
        </w:rPr>
      </w:pPr>
      <w:r>
        <w:rPr>
          <w:lang w:val="en-US"/>
        </w:rPr>
        <w:t>Given that the gap between BS and UE is not quite significant, at current stage it is not clear at which speed and which specific band that UE should support high speed</w:t>
      </w:r>
      <w:r w:rsidR="007E116B">
        <w:rPr>
          <w:lang w:val="en-US"/>
        </w:rPr>
        <w:t xml:space="preserve"> beyond 350km/h.</w:t>
      </w:r>
    </w:p>
    <w:p w:rsidR="00D44ADA" w:rsidRPr="007E116B" w:rsidRDefault="004C186C" w:rsidP="00671623">
      <w:pPr>
        <w:jc w:val="both"/>
        <w:rPr>
          <w:b/>
          <w:i/>
          <w:lang w:val="en-US"/>
        </w:rPr>
      </w:pPr>
      <w:r w:rsidRPr="00761F1F">
        <w:rPr>
          <w:b/>
          <w:i/>
          <w:lang w:val="en-US"/>
        </w:rPr>
        <w:t>Proposal 4: Define which speed and which specific band that UE should support high speed.</w:t>
      </w:r>
    </w:p>
    <w:p w:rsidR="00933D97" w:rsidRDefault="00933D97" w:rsidP="00933D97">
      <w:pPr>
        <w:pStyle w:val="Heading3"/>
        <w:jc w:val="both"/>
        <w:rPr>
          <w:kern w:val="2"/>
          <w:lang w:val="en-US"/>
        </w:rPr>
      </w:pPr>
      <w:r>
        <w:rPr>
          <w:kern w:val="2"/>
          <w:lang w:val="en-US"/>
        </w:rPr>
        <w:t>4</w:t>
      </w:r>
      <w:r>
        <w:rPr>
          <w:kern w:val="2"/>
          <w:lang w:val="en-US"/>
        </w:rPr>
        <w:tab/>
        <w:t>New high speed scenarios</w:t>
      </w:r>
    </w:p>
    <w:p w:rsidR="00671623" w:rsidRDefault="00933D97" w:rsidP="00A71E70">
      <w:pPr>
        <w:jc w:val="both"/>
        <w:rPr>
          <w:lang w:val="en-US"/>
        </w:rPr>
      </w:pPr>
      <w:r>
        <w:rPr>
          <w:lang w:val="en-US"/>
        </w:rPr>
        <w:t xml:space="preserve">It is very interesting that multiple high speed scenarios are provided in the SID.  </w:t>
      </w:r>
      <w:r w:rsidR="002E1734">
        <w:rPr>
          <w:lang w:val="en-US"/>
        </w:rPr>
        <w:t>Although these listed scenarios in the SID are not exclusive, these scenarios shall be considered as basis for further study on new high speed scenarios.</w:t>
      </w:r>
    </w:p>
    <w:p w:rsidR="00933D97" w:rsidRDefault="00933D97" w:rsidP="00933D97">
      <w:pPr>
        <w:pStyle w:val="Heading4"/>
        <w:rPr>
          <w:kern w:val="2"/>
          <w:lang w:val="en-US"/>
        </w:rPr>
      </w:pPr>
      <w:r>
        <w:rPr>
          <w:kern w:val="2"/>
          <w:lang w:val="en-US"/>
        </w:rPr>
        <w:t>4.1</w:t>
      </w:r>
      <w:r>
        <w:rPr>
          <w:kern w:val="2"/>
          <w:lang w:val="en-US"/>
        </w:rPr>
        <w:tab/>
        <w:t>RRH deployments</w:t>
      </w:r>
    </w:p>
    <w:p w:rsidR="00933D97" w:rsidRDefault="006E11AF" w:rsidP="00933D97">
      <w:pPr>
        <w:rPr>
          <w:lang w:val="en-US"/>
        </w:rPr>
      </w:pPr>
      <w:r>
        <w:rPr>
          <w:lang w:val="en-US"/>
        </w:rPr>
        <w:t>When RRH are deployed along the high speed railway, these RRH shall meet the HST requirements.  New high speed train (HST) scenarios other than Scenario 1 and Scenario 3 could be defined to satisfy the new deployments, although the RRH deployments could be similar to HST Scenario 3 defined in 36.104.</w:t>
      </w:r>
      <w:r w:rsidR="002E1734">
        <w:rPr>
          <w:lang w:val="en-US"/>
        </w:rPr>
        <w:t xml:space="preserve">  We shall decide whether new HST scenario or the existing HST Scenario 3 should be used for RRH deployment in RAN4.</w:t>
      </w:r>
    </w:p>
    <w:p w:rsidR="00933D97" w:rsidRDefault="00933D97" w:rsidP="00933D97">
      <w:pPr>
        <w:pStyle w:val="Heading4"/>
        <w:rPr>
          <w:kern w:val="2"/>
          <w:lang w:val="en-US"/>
        </w:rPr>
      </w:pPr>
      <w:r>
        <w:rPr>
          <w:kern w:val="2"/>
          <w:lang w:val="en-US"/>
        </w:rPr>
        <w:t>4.2</w:t>
      </w:r>
      <w:r>
        <w:rPr>
          <w:kern w:val="2"/>
          <w:lang w:val="en-US"/>
        </w:rPr>
        <w:tab/>
        <w:t xml:space="preserve">Separate carriers for simultaneous access of high speed and high data rate </w:t>
      </w:r>
    </w:p>
    <w:p w:rsidR="00933D97" w:rsidRDefault="006E11AF" w:rsidP="00933D97">
      <w:pPr>
        <w:rPr>
          <w:lang w:val="en-US"/>
        </w:rPr>
      </w:pPr>
      <w:r>
        <w:rPr>
          <w:lang w:val="en-US"/>
        </w:rPr>
        <w:t>The SID discussed a potential application of utilizing multiple carriers, as</w:t>
      </w:r>
    </w:p>
    <w:p w:rsidR="006E11AF" w:rsidRDefault="006E11AF" w:rsidP="00933D97">
      <w:pPr>
        <w:rPr>
          <w:lang w:val="en-US"/>
        </w:rPr>
      </w:pPr>
      <w:r>
        <w:rPr>
          <w:lang w:val="en-US"/>
        </w:rPr>
        <w:t>“</w:t>
      </w:r>
      <w:r w:rsidRPr="006E11AF">
        <w:rPr>
          <w:i/>
          <w:lang w:val="en-US"/>
        </w:rPr>
        <w:t>Separate</w:t>
      </w:r>
      <w:r w:rsidRPr="006E11AF">
        <w:rPr>
          <w:rFonts w:hint="eastAsia"/>
          <w:i/>
          <w:lang w:val="en-US"/>
        </w:rPr>
        <w:t xml:space="preserve"> carriers are </w:t>
      </w:r>
      <w:r w:rsidRPr="006E11AF">
        <w:rPr>
          <w:i/>
          <w:lang w:val="en-US"/>
        </w:rPr>
        <w:t>utilized</w:t>
      </w:r>
      <w:r w:rsidRPr="006E11AF">
        <w:rPr>
          <w:rFonts w:hint="eastAsia"/>
          <w:i/>
          <w:lang w:val="en-US"/>
        </w:rPr>
        <w:t xml:space="preserve"> for </w:t>
      </w:r>
      <w:r w:rsidRPr="006E11AF">
        <w:rPr>
          <w:i/>
          <w:lang w:val="en-US"/>
        </w:rPr>
        <w:t>high</w:t>
      </w:r>
      <w:r w:rsidRPr="006E11AF">
        <w:rPr>
          <w:rFonts w:hint="eastAsia"/>
          <w:i/>
          <w:lang w:val="en-US"/>
        </w:rPr>
        <w:t xml:space="preserve"> speed scenario. One carrier with good coverage serves as </w:t>
      </w:r>
      <w:proofErr w:type="spellStart"/>
      <w:r w:rsidRPr="006E11AF">
        <w:rPr>
          <w:rFonts w:hint="eastAsia"/>
          <w:i/>
          <w:lang w:val="en-US"/>
        </w:rPr>
        <w:t>PCell</w:t>
      </w:r>
      <w:proofErr w:type="spellEnd"/>
      <w:r w:rsidRPr="006E11AF">
        <w:rPr>
          <w:rFonts w:hint="eastAsia"/>
          <w:i/>
          <w:lang w:val="en-US"/>
        </w:rPr>
        <w:t xml:space="preserve"> for mobility management. One carrier at high frequency may provide the good data transmission.</w:t>
      </w:r>
      <w:r>
        <w:rPr>
          <w:lang w:val="en-US"/>
        </w:rPr>
        <w:t>”</w:t>
      </w:r>
    </w:p>
    <w:p w:rsidR="006E11AF" w:rsidRDefault="006E11AF" w:rsidP="00933D97">
      <w:pPr>
        <w:rPr>
          <w:lang w:val="en-US"/>
        </w:rPr>
      </w:pPr>
      <w:r>
        <w:rPr>
          <w:lang w:val="en-US"/>
        </w:rPr>
        <w:t>Even with this design, both carriers shall me</w:t>
      </w:r>
      <w:r w:rsidR="0090602F">
        <w:rPr>
          <w:lang w:val="en-US"/>
        </w:rPr>
        <w:t>e</w:t>
      </w:r>
      <w:r>
        <w:rPr>
          <w:lang w:val="en-US"/>
        </w:rPr>
        <w:t>t HST requirements to provide reliable transmission links.  Companies should be encouraged to provide more details on the benefits of the scheme.</w:t>
      </w:r>
      <w:r w:rsidR="00304CA0">
        <w:rPr>
          <w:lang w:val="en-US"/>
        </w:rPr>
        <w:t xml:space="preserve">  Besides, it might have specification impact of other 3GPP working groups.</w:t>
      </w:r>
    </w:p>
    <w:p w:rsidR="00933D97" w:rsidRDefault="00933D97" w:rsidP="00933D97">
      <w:pPr>
        <w:pStyle w:val="Heading4"/>
        <w:rPr>
          <w:kern w:val="2"/>
          <w:lang w:val="en-US"/>
        </w:rPr>
      </w:pPr>
      <w:r>
        <w:rPr>
          <w:kern w:val="2"/>
          <w:lang w:val="en-US"/>
        </w:rPr>
        <w:t>4.3</w:t>
      </w:r>
      <w:r>
        <w:rPr>
          <w:kern w:val="2"/>
          <w:lang w:val="en-US"/>
        </w:rPr>
        <w:tab/>
        <w:t>Public/dedicated network with repeaters installed in carriages</w:t>
      </w:r>
    </w:p>
    <w:p w:rsidR="006E11AF" w:rsidRPr="006E11AF" w:rsidRDefault="006E11AF" w:rsidP="006E11AF">
      <w:pPr>
        <w:rPr>
          <w:lang w:val="en-US"/>
        </w:rPr>
      </w:pPr>
      <w:r>
        <w:rPr>
          <w:lang w:val="en-US"/>
        </w:rPr>
        <w:t xml:space="preserve">This is a viable solution to solve the high Doppler issue for UEs, which are associated with the repeater without Doppler </w:t>
      </w:r>
      <w:proofErr w:type="gramStart"/>
      <w:r>
        <w:rPr>
          <w:lang w:val="en-US"/>
        </w:rPr>
        <w:t>effect</w:t>
      </w:r>
      <w:proofErr w:type="gramEnd"/>
      <w:r>
        <w:rPr>
          <w:lang w:val="en-US"/>
        </w:rPr>
        <w:t xml:space="preserve">.  The link between repeaters and </w:t>
      </w:r>
      <w:proofErr w:type="spellStart"/>
      <w:r>
        <w:rPr>
          <w:lang w:val="en-US"/>
        </w:rPr>
        <w:t>eNB</w:t>
      </w:r>
      <w:proofErr w:type="spellEnd"/>
      <w:r>
        <w:rPr>
          <w:lang w:val="en-US"/>
        </w:rPr>
        <w:t xml:space="preserve"> shall satisfy the performance requirements of HST scenarios.</w:t>
      </w:r>
      <w:r w:rsidR="00304CA0">
        <w:rPr>
          <w:lang w:val="en-US"/>
        </w:rPr>
        <w:t xml:space="preserve">  </w:t>
      </w:r>
    </w:p>
    <w:p w:rsidR="00933D97" w:rsidRDefault="00933D97" w:rsidP="00933D97">
      <w:pPr>
        <w:pStyle w:val="Heading4"/>
        <w:rPr>
          <w:kern w:val="2"/>
          <w:lang w:val="en-US"/>
        </w:rPr>
      </w:pPr>
      <w:r>
        <w:rPr>
          <w:kern w:val="2"/>
          <w:lang w:val="en-US"/>
        </w:rPr>
        <w:t>4.4</w:t>
      </w:r>
      <w:r>
        <w:rPr>
          <w:kern w:val="2"/>
          <w:lang w:val="en-US"/>
        </w:rPr>
        <w:tab/>
        <w:t>Repeaters inside tunnels</w:t>
      </w:r>
    </w:p>
    <w:p w:rsidR="00933D97" w:rsidRDefault="003D3C66" w:rsidP="00A71E70">
      <w:pPr>
        <w:jc w:val="both"/>
        <w:rPr>
          <w:lang w:val="en-US"/>
        </w:rPr>
      </w:pPr>
      <w:r>
        <w:rPr>
          <w:lang w:val="en-US"/>
        </w:rPr>
        <w:t>If the repeaters are deployed inside tunnels, new HST scenarios have to be defined for tunnel deployment.  With the new scenarios, performance should be studied and specified for new HST scenario of tunnel deployment.</w:t>
      </w:r>
    </w:p>
    <w:p w:rsidR="006E11AF" w:rsidRPr="00761F1F" w:rsidRDefault="004C186C" w:rsidP="00A71E70">
      <w:pPr>
        <w:jc w:val="both"/>
        <w:rPr>
          <w:b/>
          <w:i/>
          <w:lang w:val="en-US"/>
        </w:rPr>
      </w:pPr>
      <w:r w:rsidRPr="00761F1F">
        <w:rPr>
          <w:b/>
          <w:i/>
          <w:lang w:val="en-US"/>
        </w:rPr>
        <w:t>Observation: new HST scenarios have to be defined for tunnel deployment</w:t>
      </w:r>
    </w:p>
    <w:p w:rsidR="00D44ADA" w:rsidRPr="00761F1F" w:rsidRDefault="004C186C" w:rsidP="00A71E70">
      <w:pPr>
        <w:jc w:val="both"/>
        <w:rPr>
          <w:b/>
          <w:i/>
          <w:lang w:val="en-US"/>
        </w:rPr>
      </w:pPr>
      <w:r w:rsidRPr="00761F1F">
        <w:rPr>
          <w:b/>
          <w:i/>
          <w:lang w:val="en-US"/>
        </w:rPr>
        <w:t>Proposal</w:t>
      </w:r>
      <w:r w:rsidR="002C0CC4" w:rsidRPr="00761F1F">
        <w:rPr>
          <w:b/>
          <w:i/>
          <w:lang w:val="en-US"/>
        </w:rPr>
        <w:t xml:space="preserve"> 5</w:t>
      </w:r>
      <w:r w:rsidRPr="00761F1F">
        <w:rPr>
          <w:b/>
          <w:i/>
          <w:lang w:val="en-US"/>
        </w:rPr>
        <w:t>: Companies should be encouraged to provide more details on needed deployment scenario</w:t>
      </w:r>
      <w:r w:rsidR="00354196" w:rsidRPr="00761F1F">
        <w:rPr>
          <w:b/>
          <w:i/>
          <w:lang w:val="en-US"/>
        </w:rPr>
        <w:t>.</w:t>
      </w:r>
    </w:p>
    <w:p w:rsidR="00DB5868" w:rsidRPr="00761F1F" w:rsidRDefault="00DB5868" w:rsidP="00DB5868">
      <w:pPr>
        <w:pStyle w:val="Heading3"/>
        <w:jc w:val="both"/>
        <w:rPr>
          <w:kern w:val="2"/>
          <w:lang w:val="en-US"/>
        </w:rPr>
      </w:pPr>
      <w:r w:rsidRPr="00761F1F">
        <w:rPr>
          <w:kern w:val="2"/>
          <w:lang w:val="en-US"/>
        </w:rPr>
        <w:t>5</w:t>
      </w:r>
      <w:r w:rsidRPr="00761F1F">
        <w:rPr>
          <w:kern w:val="2"/>
          <w:lang w:val="en-US"/>
        </w:rPr>
        <w:tab/>
      </w:r>
      <w:r w:rsidR="002C0CC4" w:rsidRPr="00761F1F">
        <w:rPr>
          <w:kern w:val="2"/>
          <w:lang w:val="en-US"/>
        </w:rPr>
        <w:t>Conclusion</w:t>
      </w:r>
    </w:p>
    <w:p w:rsidR="004C186C" w:rsidRPr="00761F1F" w:rsidRDefault="002C0CC4" w:rsidP="004C186C">
      <w:pPr>
        <w:rPr>
          <w:lang w:val="en-US"/>
        </w:rPr>
      </w:pPr>
      <w:r w:rsidRPr="00761F1F">
        <w:rPr>
          <w:lang w:val="en-US"/>
        </w:rPr>
        <w:t>This contribution provides an overview on general aspects for the Rel-13 high speed SI.  The observations and proposals are summarized here.</w:t>
      </w:r>
    </w:p>
    <w:p w:rsidR="002C0CC4" w:rsidRDefault="002C0CC4" w:rsidP="002C0CC4">
      <w:pPr>
        <w:jc w:val="both"/>
        <w:rPr>
          <w:b/>
          <w:i/>
          <w:lang w:val="en-US"/>
        </w:rPr>
      </w:pPr>
      <w:r w:rsidRPr="00761F1F">
        <w:rPr>
          <w:b/>
          <w:i/>
          <w:lang w:val="en-US"/>
        </w:rPr>
        <w:t>Observation: Higher Doppler shift is supported for speed greater than 350km/hr in all bands with f</w:t>
      </w:r>
      <w:r w:rsidRPr="00B0619B">
        <w:rPr>
          <w:b/>
          <w:i/>
          <w:lang w:val="en-US"/>
        </w:rPr>
        <w:t xml:space="preserve">requency less than 2GHz.  </w:t>
      </w:r>
    </w:p>
    <w:p w:rsidR="002C0CC4" w:rsidRDefault="002C0CC4" w:rsidP="002C0CC4">
      <w:pPr>
        <w:jc w:val="both"/>
        <w:rPr>
          <w:b/>
          <w:i/>
          <w:lang w:val="en-US"/>
        </w:rPr>
      </w:pPr>
      <w:r>
        <w:rPr>
          <w:b/>
          <w:i/>
          <w:lang w:val="en-US"/>
        </w:rPr>
        <w:lastRenderedPageBreak/>
        <w:t>Observation: The exception bands to support 350km/hr are high bands with frequency greater than 2GHz, such as Band 7, Band 22, Band 30, Band 38, Band 40, Band 41, Band 42 and Band 43.</w:t>
      </w:r>
    </w:p>
    <w:p w:rsidR="002C0CC4" w:rsidRPr="00B0619B" w:rsidRDefault="002C0CC4" w:rsidP="002C0CC4">
      <w:pPr>
        <w:jc w:val="both"/>
        <w:rPr>
          <w:b/>
          <w:i/>
          <w:lang w:val="en-US"/>
        </w:rPr>
      </w:pPr>
      <w:r>
        <w:rPr>
          <w:b/>
          <w:i/>
          <w:lang w:val="en-US"/>
        </w:rPr>
        <w:t>Proposal 1: Operators shall provide inputs on their intentions to support HST for specific high frequency bands.</w:t>
      </w:r>
    </w:p>
    <w:p w:rsidR="002C0CC4" w:rsidRPr="007E116B" w:rsidRDefault="002C0CC4" w:rsidP="002C0CC4">
      <w:pPr>
        <w:jc w:val="both"/>
        <w:rPr>
          <w:b/>
          <w:i/>
          <w:lang w:val="en-US"/>
        </w:rPr>
      </w:pPr>
      <w:r w:rsidRPr="007E116B">
        <w:rPr>
          <w:b/>
          <w:i/>
          <w:lang w:val="en-US"/>
        </w:rPr>
        <w:t>Proposal</w:t>
      </w:r>
      <w:r>
        <w:rPr>
          <w:b/>
          <w:i/>
          <w:lang w:val="en-US"/>
        </w:rPr>
        <w:t xml:space="preserve"> 2</w:t>
      </w:r>
      <w:r w:rsidRPr="007E116B">
        <w:rPr>
          <w:b/>
          <w:i/>
          <w:lang w:val="en-US"/>
        </w:rPr>
        <w:t xml:space="preserve">: RAN4 should clarify the work plan for the high Doppler RRM under TEI12 and the new SI. </w:t>
      </w:r>
    </w:p>
    <w:p w:rsidR="002C0CC4" w:rsidRPr="007E116B" w:rsidRDefault="002C0CC4" w:rsidP="002C0CC4">
      <w:pPr>
        <w:jc w:val="both"/>
        <w:rPr>
          <w:b/>
          <w:i/>
          <w:lang w:val="en-US"/>
        </w:rPr>
      </w:pPr>
      <w:r w:rsidRPr="007E116B">
        <w:rPr>
          <w:b/>
          <w:i/>
          <w:lang w:val="en-US"/>
        </w:rPr>
        <w:t>Proposal</w:t>
      </w:r>
      <w:r>
        <w:rPr>
          <w:b/>
          <w:i/>
          <w:lang w:val="en-US"/>
        </w:rPr>
        <w:t xml:space="preserve"> 3</w:t>
      </w:r>
      <w:r w:rsidRPr="007E116B">
        <w:rPr>
          <w:b/>
          <w:i/>
          <w:lang w:val="en-US"/>
        </w:rPr>
        <w:t xml:space="preserve">: Investigations on all RRM aspects including the measurement accuracy are needed for higher speed (350km/h or beyond) in existing high speed scenarios before making decisions on RRM requirement enhancement.   </w:t>
      </w:r>
    </w:p>
    <w:p w:rsidR="002C0CC4" w:rsidRPr="00761F1F" w:rsidRDefault="002C0CC4" w:rsidP="002C0CC4">
      <w:pPr>
        <w:jc w:val="both"/>
        <w:rPr>
          <w:b/>
          <w:i/>
          <w:lang w:val="en-US"/>
        </w:rPr>
      </w:pPr>
      <w:r w:rsidRPr="00761F1F">
        <w:rPr>
          <w:b/>
          <w:i/>
          <w:lang w:val="en-US"/>
        </w:rPr>
        <w:t>Proposal 4: Define which speed and which specific band that UE should support high speed.</w:t>
      </w:r>
    </w:p>
    <w:p w:rsidR="002C0CC4" w:rsidRPr="00761F1F" w:rsidRDefault="002C0CC4" w:rsidP="002C0CC4">
      <w:pPr>
        <w:jc w:val="both"/>
        <w:rPr>
          <w:b/>
          <w:i/>
          <w:lang w:val="en-US"/>
        </w:rPr>
      </w:pPr>
      <w:r w:rsidRPr="00761F1F">
        <w:rPr>
          <w:b/>
          <w:i/>
          <w:lang w:val="en-US"/>
        </w:rPr>
        <w:t>Observation: new HST scenarios have to be defined for tunnel deployment</w:t>
      </w:r>
    </w:p>
    <w:p w:rsidR="002C0CC4" w:rsidRPr="00354196" w:rsidRDefault="002C0CC4" w:rsidP="002C0CC4">
      <w:pPr>
        <w:jc w:val="both"/>
        <w:rPr>
          <w:b/>
          <w:i/>
          <w:lang w:val="en-US"/>
        </w:rPr>
      </w:pPr>
      <w:r w:rsidRPr="00761F1F">
        <w:rPr>
          <w:b/>
          <w:i/>
          <w:lang w:val="en-US"/>
        </w:rPr>
        <w:t>Proposal 5: Companies should be encouraged to provide more details on needed deployment scenario.</w:t>
      </w:r>
    </w:p>
    <w:p w:rsidR="00DB5868" w:rsidRDefault="000D3DB1" w:rsidP="00DB5868">
      <w:pPr>
        <w:rPr>
          <w:lang w:val="en-US"/>
        </w:rPr>
      </w:pPr>
      <w:r>
        <w:rPr>
          <w:lang w:val="en-US"/>
        </w:rPr>
        <w:t>Given the very broad scope of the SI on high speed scenarios, virtually almost every aspect associated with high speed is under further investigation.  Therefore, we need to prioritize our study under the SI</w:t>
      </w:r>
      <w:r w:rsidR="006E575E">
        <w:rPr>
          <w:lang w:val="en-US"/>
        </w:rPr>
        <w:t>:</w:t>
      </w:r>
    </w:p>
    <w:p w:rsidR="004C186C" w:rsidRDefault="004C186C" w:rsidP="004C186C">
      <w:pPr>
        <w:pStyle w:val="ListParagraph"/>
        <w:numPr>
          <w:ilvl w:val="0"/>
          <w:numId w:val="1"/>
        </w:numPr>
      </w:pPr>
      <w:r w:rsidRPr="004C186C">
        <w:rPr>
          <w:sz w:val="20"/>
          <w:szCs w:val="20"/>
        </w:rPr>
        <w:t xml:space="preserve">The 1st priority should be specification of UE performance following the TEI discussion to support UE up to 350km/hr for major LTE bands.  </w:t>
      </w:r>
    </w:p>
    <w:p w:rsidR="004C186C" w:rsidRDefault="004C186C" w:rsidP="004C186C">
      <w:pPr>
        <w:pStyle w:val="ListParagraph"/>
        <w:numPr>
          <w:ilvl w:val="0"/>
          <w:numId w:val="1"/>
        </w:numPr>
      </w:pPr>
      <w:r w:rsidRPr="004C186C">
        <w:rPr>
          <w:sz w:val="20"/>
          <w:szCs w:val="20"/>
        </w:rPr>
        <w:t>The 2</w:t>
      </w:r>
      <w:r w:rsidRPr="004C186C">
        <w:rPr>
          <w:sz w:val="20"/>
          <w:szCs w:val="20"/>
          <w:vertAlign w:val="superscript"/>
        </w:rPr>
        <w:t>nd</w:t>
      </w:r>
      <w:r w:rsidRPr="004C186C">
        <w:rPr>
          <w:sz w:val="20"/>
          <w:szCs w:val="20"/>
        </w:rPr>
        <w:t xml:space="preserve"> priority is to decide whether &gt;350km/hr requirements are needed and which bands are needed for both UE and BS performance, with inputs from operators.  Operators shall provide their intentions </w:t>
      </w:r>
      <w:r w:rsidR="001B7460">
        <w:rPr>
          <w:sz w:val="20"/>
          <w:szCs w:val="20"/>
        </w:rPr>
        <w:t xml:space="preserve">to </w:t>
      </w:r>
      <w:r w:rsidRPr="004C186C">
        <w:rPr>
          <w:sz w:val="20"/>
          <w:szCs w:val="20"/>
        </w:rPr>
        <w:t>support either wide area coverage or small cells for specific bands, especially the high bands.</w:t>
      </w:r>
    </w:p>
    <w:p w:rsidR="004C186C" w:rsidRDefault="004C186C" w:rsidP="004C186C">
      <w:pPr>
        <w:pStyle w:val="ListParagraph"/>
        <w:numPr>
          <w:ilvl w:val="0"/>
          <w:numId w:val="1"/>
        </w:numPr>
      </w:pPr>
      <w:r w:rsidRPr="004C186C">
        <w:rPr>
          <w:sz w:val="20"/>
          <w:szCs w:val="20"/>
        </w:rPr>
        <w:t>New high speed scenarios, as listed in the SID but not limited to, should be investigated after HST enhancements are concluded.</w:t>
      </w:r>
    </w:p>
    <w:p w:rsidR="00CA1810" w:rsidRDefault="000D3DB1" w:rsidP="00CA1810">
      <w:pPr>
        <w:rPr>
          <w:lang w:val="en-US"/>
        </w:rPr>
      </w:pPr>
      <w:r>
        <w:rPr>
          <w:lang w:val="en-US"/>
        </w:rPr>
        <w:t xml:space="preserve"> </w:t>
      </w:r>
    </w:p>
    <w:p w:rsidR="002A5530" w:rsidRDefault="001B7460" w:rsidP="00CA1810">
      <w:pPr>
        <w:rPr>
          <w:lang w:val="en-US"/>
        </w:rPr>
      </w:pPr>
      <w:r>
        <w:rPr>
          <w:lang w:val="en-US"/>
        </w:rPr>
        <w:t>RAN4 shall consider the listed priority order for the SI planning and work.</w:t>
      </w:r>
    </w:p>
    <w:p w:rsidR="00806888" w:rsidRDefault="00806888" w:rsidP="00DC38A8">
      <w:pPr>
        <w:pStyle w:val="Heading1"/>
        <w:jc w:val="both"/>
        <w:rPr>
          <w:lang w:val="en-US"/>
        </w:rPr>
      </w:pPr>
      <w:r>
        <w:rPr>
          <w:rFonts w:hint="eastAsia"/>
          <w:lang w:val="en-US"/>
        </w:rPr>
        <w:t>Reference</w:t>
      </w:r>
    </w:p>
    <w:p w:rsidR="00806D1A" w:rsidRDefault="00176C30" w:rsidP="00DC38A8">
      <w:pPr>
        <w:ind w:left="720" w:hanging="720"/>
        <w:jc w:val="both"/>
      </w:pPr>
      <w:r>
        <w:rPr>
          <w:lang w:val="en-US"/>
        </w:rPr>
        <w:t>[1]</w:t>
      </w:r>
      <w:r>
        <w:rPr>
          <w:lang w:val="en-US"/>
        </w:rPr>
        <w:tab/>
      </w:r>
      <w:r w:rsidR="002906F4">
        <w:rPr>
          <w:lang w:val="en-US"/>
        </w:rPr>
        <w:t>RP-142307</w:t>
      </w:r>
      <w:r w:rsidR="002906F4">
        <w:rPr>
          <w:lang w:val="en-US"/>
        </w:rPr>
        <w:tab/>
        <w:t>“New SI</w:t>
      </w:r>
      <w:r w:rsidR="002906F4" w:rsidRPr="002906F4">
        <w:rPr>
          <w:lang w:val="en-US"/>
        </w:rPr>
        <w:t>: Performance enhancements for high speed scenario</w:t>
      </w:r>
      <w:r w:rsidR="002906F4">
        <w:rPr>
          <w:lang w:val="en-US"/>
        </w:rPr>
        <w:t xml:space="preserve">”, NTT DOCOMO, </w:t>
      </w:r>
      <w:proofErr w:type="spellStart"/>
      <w:r w:rsidR="002906F4">
        <w:rPr>
          <w:lang w:val="en-US"/>
        </w:rPr>
        <w:t>Huawei</w:t>
      </w:r>
      <w:proofErr w:type="spellEnd"/>
      <w:r w:rsidR="002906F4">
        <w:rPr>
          <w:lang w:val="en-US"/>
        </w:rPr>
        <w:t xml:space="preserve">, </w:t>
      </w:r>
      <w:proofErr w:type="spellStart"/>
      <w:r w:rsidR="002906F4">
        <w:rPr>
          <w:lang w:val="en-US"/>
        </w:rPr>
        <w:t>HiSilicon</w:t>
      </w:r>
      <w:proofErr w:type="spellEnd"/>
      <w:r w:rsidR="002906F4">
        <w:rPr>
          <w:lang w:val="en-US"/>
        </w:rPr>
        <w:t>, Dec 2014</w:t>
      </w:r>
    </w:p>
    <w:p w:rsidR="00F23A95" w:rsidRDefault="00806D1A" w:rsidP="00563EF0">
      <w:pPr>
        <w:ind w:left="720" w:hanging="720"/>
        <w:jc w:val="both"/>
        <w:rPr>
          <w:lang w:val="en-US"/>
        </w:rPr>
      </w:pPr>
      <w:r>
        <w:rPr>
          <w:lang w:val="en-US"/>
        </w:rPr>
        <w:t>[2]</w:t>
      </w:r>
      <w:r>
        <w:rPr>
          <w:lang w:val="en-US"/>
        </w:rPr>
        <w:tab/>
      </w:r>
      <w:r w:rsidR="002906F4">
        <w:rPr>
          <w:lang w:val="en-US"/>
        </w:rPr>
        <w:t>R4-147300</w:t>
      </w:r>
      <w:r w:rsidR="002906F4">
        <w:rPr>
          <w:lang w:val="en-US"/>
        </w:rPr>
        <w:tab/>
        <w:t>“</w:t>
      </w:r>
      <w:r w:rsidR="002906F4" w:rsidRPr="002906F4">
        <w:rPr>
          <w:lang w:val="en-US"/>
        </w:rPr>
        <w:t>Motivation of New SI proposal: Performance enhancements for high speed scenario</w:t>
      </w:r>
      <w:r w:rsidR="002906F4">
        <w:rPr>
          <w:lang w:val="en-US"/>
        </w:rPr>
        <w:t xml:space="preserve">”, NTT DOCOMO, </w:t>
      </w:r>
      <w:proofErr w:type="spellStart"/>
      <w:r w:rsidR="002906F4">
        <w:rPr>
          <w:lang w:val="en-US"/>
        </w:rPr>
        <w:t>Huawei</w:t>
      </w:r>
      <w:proofErr w:type="spellEnd"/>
      <w:r w:rsidR="002906F4">
        <w:rPr>
          <w:lang w:val="en-US"/>
        </w:rPr>
        <w:t xml:space="preserve">, </w:t>
      </w:r>
      <w:proofErr w:type="spellStart"/>
      <w:r w:rsidR="002906F4">
        <w:rPr>
          <w:lang w:val="en-US"/>
        </w:rPr>
        <w:t>HiSilicon</w:t>
      </w:r>
      <w:proofErr w:type="spellEnd"/>
      <w:r w:rsidR="002906F4">
        <w:rPr>
          <w:lang w:val="en-US"/>
        </w:rPr>
        <w:t>, Nov 2014</w:t>
      </w:r>
    </w:p>
    <w:p w:rsidR="002906F4" w:rsidRPr="00F23A95" w:rsidRDefault="002906F4" w:rsidP="00563EF0">
      <w:pPr>
        <w:ind w:left="720" w:hanging="720"/>
        <w:jc w:val="both"/>
        <w:rPr>
          <w:lang w:val="en-US"/>
        </w:rPr>
      </w:pPr>
    </w:p>
    <w:p w:rsidR="00B23263" w:rsidRPr="002906F4" w:rsidRDefault="00B23263" w:rsidP="00B70A6D">
      <w:pPr>
        <w:jc w:val="both"/>
        <w:rPr>
          <w:kern w:val="2"/>
          <w:lang w:val="en-US" w:eastAsia="zh-CN"/>
        </w:rPr>
      </w:pPr>
    </w:p>
    <w:sectPr w:rsidR="00B23263" w:rsidRPr="002906F4" w:rsidSect="0087733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07D" w:rsidRDefault="006D307D" w:rsidP="0099206E">
      <w:r>
        <w:separator/>
      </w:r>
    </w:p>
  </w:endnote>
  <w:endnote w:type="continuationSeparator" w:id="0">
    <w:p w:rsidR="006D307D" w:rsidRDefault="006D307D" w:rsidP="009920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07D" w:rsidRDefault="006D307D" w:rsidP="0099206E">
      <w:r>
        <w:separator/>
      </w:r>
    </w:p>
  </w:footnote>
  <w:footnote w:type="continuationSeparator" w:id="0">
    <w:p w:rsidR="006D307D" w:rsidRDefault="006D307D"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7043B2"/>
    <w:multiLevelType w:val="hybridMultilevel"/>
    <w:tmpl w:val="9F2A9F9A"/>
    <w:lvl w:ilvl="0" w:tplc="85BE706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5187"/>
    <w:rsid w:val="00015AE5"/>
    <w:rsid w:val="00015B1F"/>
    <w:rsid w:val="00016AB9"/>
    <w:rsid w:val="000171ED"/>
    <w:rsid w:val="00017818"/>
    <w:rsid w:val="000221C4"/>
    <w:rsid w:val="00023174"/>
    <w:rsid w:val="00026B95"/>
    <w:rsid w:val="0003373D"/>
    <w:rsid w:val="00033D97"/>
    <w:rsid w:val="000401DC"/>
    <w:rsid w:val="0004460E"/>
    <w:rsid w:val="000454CF"/>
    <w:rsid w:val="00051024"/>
    <w:rsid w:val="00052632"/>
    <w:rsid w:val="00052E51"/>
    <w:rsid w:val="0005598F"/>
    <w:rsid w:val="00060D52"/>
    <w:rsid w:val="000701CE"/>
    <w:rsid w:val="00074B5C"/>
    <w:rsid w:val="00076C8B"/>
    <w:rsid w:val="0008092C"/>
    <w:rsid w:val="0008357A"/>
    <w:rsid w:val="000835CC"/>
    <w:rsid w:val="00083D29"/>
    <w:rsid w:val="00084A56"/>
    <w:rsid w:val="00085C29"/>
    <w:rsid w:val="0008720E"/>
    <w:rsid w:val="000917F5"/>
    <w:rsid w:val="0009198D"/>
    <w:rsid w:val="0009423E"/>
    <w:rsid w:val="00094C9F"/>
    <w:rsid w:val="00094EC4"/>
    <w:rsid w:val="00095F8A"/>
    <w:rsid w:val="00097663"/>
    <w:rsid w:val="000979E4"/>
    <w:rsid w:val="000A1243"/>
    <w:rsid w:val="000A2357"/>
    <w:rsid w:val="000A6D6F"/>
    <w:rsid w:val="000B3270"/>
    <w:rsid w:val="000B36A2"/>
    <w:rsid w:val="000B5A58"/>
    <w:rsid w:val="000B7356"/>
    <w:rsid w:val="000C101E"/>
    <w:rsid w:val="000C1AF4"/>
    <w:rsid w:val="000C2A8E"/>
    <w:rsid w:val="000C2CAF"/>
    <w:rsid w:val="000C3136"/>
    <w:rsid w:val="000C38BD"/>
    <w:rsid w:val="000C53D0"/>
    <w:rsid w:val="000C68FC"/>
    <w:rsid w:val="000C6B63"/>
    <w:rsid w:val="000C7263"/>
    <w:rsid w:val="000C7AAB"/>
    <w:rsid w:val="000C7E7D"/>
    <w:rsid w:val="000D316D"/>
    <w:rsid w:val="000D3DB1"/>
    <w:rsid w:val="000D453B"/>
    <w:rsid w:val="000D53D3"/>
    <w:rsid w:val="000D66BA"/>
    <w:rsid w:val="000E2274"/>
    <w:rsid w:val="000E4C66"/>
    <w:rsid w:val="000F10FE"/>
    <w:rsid w:val="000F17A3"/>
    <w:rsid w:val="000F182B"/>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957"/>
    <w:rsid w:val="00117C7C"/>
    <w:rsid w:val="001251D9"/>
    <w:rsid w:val="0013043E"/>
    <w:rsid w:val="00130572"/>
    <w:rsid w:val="00132492"/>
    <w:rsid w:val="00132625"/>
    <w:rsid w:val="00132957"/>
    <w:rsid w:val="001338AF"/>
    <w:rsid w:val="00133CA5"/>
    <w:rsid w:val="001369BA"/>
    <w:rsid w:val="001409E2"/>
    <w:rsid w:val="00140DDC"/>
    <w:rsid w:val="00141C57"/>
    <w:rsid w:val="00146C6F"/>
    <w:rsid w:val="00150523"/>
    <w:rsid w:val="00152E6C"/>
    <w:rsid w:val="00155920"/>
    <w:rsid w:val="001573C8"/>
    <w:rsid w:val="00170648"/>
    <w:rsid w:val="001712C3"/>
    <w:rsid w:val="00172B1C"/>
    <w:rsid w:val="00176C30"/>
    <w:rsid w:val="001843F8"/>
    <w:rsid w:val="00184D3C"/>
    <w:rsid w:val="00185ADE"/>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B7460"/>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F75"/>
    <w:rsid w:val="001E430C"/>
    <w:rsid w:val="001E6C54"/>
    <w:rsid w:val="001E7084"/>
    <w:rsid w:val="001E796A"/>
    <w:rsid w:val="001F0A02"/>
    <w:rsid w:val="001F2FA4"/>
    <w:rsid w:val="001F3438"/>
    <w:rsid w:val="001F7AF1"/>
    <w:rsid w:val="0020031D"/>
    <w:rsid w:val="00201700"/>
    <w:rsid w:val="00203A11"/>
    <w:rsid w:val="002051CE"/>
    <w:rsid w:val="00206E2B"/>
    <w:rsid w:val="0020793A"/>
    <w:rsid w:val="002131AC"/>
    <w:rsid w:val="00215315"/>
    <w:rsid w:val="0021724B"/>
    <w:rsid w:val="00221895"/>
    <w:rsid w:val="00221BD9"/>
    <w:rsid w:val="00223FE6"/>
    <w:rsid w:val="00225EE5"/>
    <w:rsid w:val="002276C9"/>
    <w:rsid w:val="002321FD"/>
    <w:rsid w:val="0023390F"/>
    <w:rsid w:val="00234960"/>
    <w:rsid w:val="002403D2"/>
    <w:rsid w:val="00240F21"/>
    <w:rsid w:val="0024152E"/>
    <w:rsid w:val="00245A91"/>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06F4"/>
    <w:rsid w:val="00293475"/>
    <w:rsid w:val="0029743E"/>
    <w:rsid w:val="002A0402"/>
    <w:rsid w:val="002A2BFA"/>
    <w:rsid w:val="002A5530"/>
    <w:rsid w:val="002A569A"/>
    <w:rsid w:val="002A60FB"/>
    <w:rsid w:val="002B1763"/>
    <w:rsid w:val="002B7B7F"/>
    <w:rsid w:val="002C0CC4"/>
    <w:rsid w:val="002C21BA"/>
    <w:rsid w:val="002C4CA0"/>
    <w:rsid w:val="002C7A6C"/>
    <w:rsid w:val="002C7A74"/>
    <w:rsid w:val="002D0BAC"/>
    <w:rsid w:val="002D15EB"/>
    <w:rsid w:val="002D2D2E"/>
    <w:rsid w:val="002D6281"/>
    <w:rsid w:val="002E1734"/>
    <w:rsid w:val="002E77E0"/>
    <w:rsid w:val="002F1A43"/>
    <w:rsid w:val="002F4E33"/>
    <w:rsid w:val="002F70F4"/>
    <w:rsid w:val="002F77E2"/>
    <w:rsid w:val="0030266B"/>
    <w:rsid w:val="00303CB4"/>
    <w:rsid w:val="00304CA0"/>
    <w:rsid w:val="00304DA3"/>
    <w:rsid w:val="003071B4"/>
    <w:rsid w:val="00312BE4"/>
    <w:rsid w:val="00313AD3"/>
    <w:rsid w:val="00317E53"/>
    <w:rsid w:val="00323484"/>
    <w:rsid w:val="0032368C"/>
    <w:rsid w:val="00323EEF"/>
    <w:rsid w:val="003271FC"/>
    <w:rsid w:val="0033127B"/>
    <w:rsid w:val="00333864"/>
    <w:rsid w:val="00337E10"/>
    <w:rsid w:val="00340FD7"/>
    <w:rsid w:val="00354196"/>
    <w:rsid w:val="003551D9"/>
    <w:rsid w:val="00355B87"/>
    <w:rsid w:val="003578F5"/>
    <w:rsid w:val="00362FBF"/>
    <w:rsid w:val="00365E16"/>
    <w:rsid w:val="003662E5"/>
    <w:rsid w:val="0036653A"/>
    <w:rsid w:val="003666DA"/>
    <w:rsid w:val="00366D8C"/>
    <w:rsid w:val="00366ED2"/>
    <w:rsid w:val="003713AB"/>
    <w:rsid w:val="0037238C"/>
    <w:rsid w:val="00372A02"/>
    <w:rsid w:val="003751B1"/>
    <w:rsid w:val="00375C79"/>
    <w:rsid w:val="00376F13"/>
    <w:rsid w:val="00377FDE"/>
    <w:rsid w:val="00380423"/>
    <w:rsid w:val="003809A3"/>
    <w:rsid w:val="00390461"/>
    <w:rsid w:val="00395770"/>
    <w:rsid w:val="00395ADA"/>
    <w:rsid w:val="003A02A4"/>
    <w:rsid w:val="003A04A9"/>
    <w:rsid w:val="003A2A39"/>
    <w:rsid w:val="003A2C89"/>
    <w:rsid w:val="003A2E1F"/>
    <w:rsid w:val="003B1938"/>
    <w:rsid w:val="003B60AB"/>
    <w:rsid w:val="003C6804"/>
    <w:rsid w:val="003C7562"/>
    <w:rsid w:val="003D1AB1"/>
    <w:rsid w:val="003D1F58"/>
    <w:rsid w:val="003D2696"/>
    <w:rsid w:val="003D3C66"/>
    <w:rsid w:val="003D58E0"/>
    <w:rsid w:val="003D62C4"/>
    <w:rsid w:val="003D683F"/>
    <w:rsid w:val="003E0CAD"/>
    <w:rsid w:val="003E1375"/>
    <w:rsid w:val="003E2286"/>
    <w:rsid w:val="003E279E"/>
    <w:rsid w:val="003E2FF4"/>
    <w:rsid w:val="003E3AEA"/>
    <w:rsid w:val="003E621E"/>
    <w:rsid w:val="003F0B60"/>
    <w:rsid w:val="003F1F33"/>
    <w:rsid w:val="003F60D5"/>
    <w:rsid w:val="003F7C20"/>
    <w:rsid w:val="004013B7"/>
    <w:rsid w:val="004018E5"/>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4404"/>
    <w:rsid w:val="00424BBB"/>
    <w:rsid w:val="004256D6"/>
    <w:rsid w:val="00426814"/>
    <w:rsid w:val="00427115"/>
    <w:rsid w:val="00427A27"/>
    <w:rsid w:val="00432C79"/>
    <w:rsid w:val="00433DE2"/>
    <w:rsid w:val="00434B3B"/>
    <w:rsid w:val="00436BC7"/>
    <w:rsid w:val="00441571"/>
    <w:rsid w:val="00441C4A"/>
    <w:rsid w:val="00444593"/>
    <w:rsid w:val="00444804"/>
    <w:rsid w:val="004448E1"/>
    <w:rsid w:val="00444DF3"/>
    <w:rsid w:val="00446BF9"/>
    <w:rsid w:val="00446D24"/>
    <w:rsid w:val="00451173"/>
    <w:rsid w:val="00451714"/>
    <w:rsid w:val="004564F4"/>
    <w:rsid w:val="004568B9"/>
    <w:rsid w:val="00463497"/>
    <w:rsid w:val="004641F1"/>
    <w:rsid w:val="00464996"/>
    <w:rsid w:val="004677A9"/>
    <w:rsid w:val="004714B7"/>
    <w:rsid w:val="00471C85"/>
    <w:rsid w:val="004747C6"/>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51F5"/>
    <w:rsid w:val="004A5F75"/>
    <w:rsid w:val="004B2294"/>
    <w:rsid w:val="004B54AC"/>
    <w:rsid w:val="004C0C91"/>
    <w:rsid w:val="004C0F6A"/>
    <w:rsid w:val="004C186C"/>
    <w:rsid w:val="004C3FF3"/>
    <w:rsid w:val="004D24BE"/>
    <w:rsid w:val="004D5B9A"/>
    <w:rsid w:val="004D65FF"/>
    <w:rsid w:val="004D7669"/>
    <w:rsid w:val="004E5382"/>
    <w:rsid w:val="004E7D32"/>
    <w:rsid w:val="004F4EA5"/>
    <w:rsid w:val="004F53C8"/>
    <w:rsid w:val="004F794F"/>
    <w:rsid w:val="00501EB6"/>
    <w:rsid w:val="005079C6"/>
    <w:rsid w:val="00511100"/>
    <w:rsid w:val="00520448"/>
    <w:rsid w:val="00520B92"/>
    <w:rsid w:val="0052229F"/>
    <w:rsid w:val="005243BB"/>
    <w:rsid w:val="005267B5"/>
    <w:rsid w:val="0052707C"/>
    <w:rsid w:val="005275CA"/>
    <w:rsid w:val="0054735E"/>
    <w:rsid w:val="00547D6A"/>
    <w:rsid w:val="0055096E"/>
    <w:rsid w:val="00551A87"/>
    <w:rsid w:val="00553FA2"/>
    <w:rsid w:val="005551B4"/>
    <w:rsid w:val="00555351"/>
    <w:rsid w:val="0055699C"/>
    <w:rsid w:val="0055757F"/>
    <w:rsid w:val="00563878"/>
    <w:rsid w:val="00563EF0"/>
    <w:rsid w:val="00564A3B"/>
    <w:rsid w:val="00566561"/>
    <w:rsid w:val="00572630"/>
    <w:rsid w:val="005736BF"/>
    <w:rsid w:val="00576392"/>
    <w:rsid w:val="005777DB"/>
    <w:rsid w:val="005806AC"/>
    <w:rsid w:val="00580888"/>
    <w:rsid w:val="00582658"/>
    <w:rsid w:val="005870AF"/>
    <w:rsid w:val="0058728C"/>
    <w:rsid w:val="005923FB"/>
    <w:rsid w:val="00593093"/>
    <w:rsid w:val="00596274"/>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786"/>
    <w:rsid w:val="005F4EC3"/>
    <w:rsid w:val="005F522B"/>
    <w:rsid w:val="005F7A29"/>
    <w:rsid w:val="00601025"/>
    <w:rsid w:val="0060301D"/>
    <w:rsid w:val="00612E95"/>
    <w:rsid w:val="006138E3"/>
    <w:rsid w:val="00615210"/>
    <w:rsid w:val="00615462"/>
    <w:rsid w:val="00615A02"/>
    <w:rsid w:val="00621F74"/>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7066"/>
    <w:rsid w:val="0065783A"/>
    <w:rsid w:val="00657C8C"/>
    <w:rsid w:val="00657EAA"/>
    <w:rsid w:val="006618E7"/>
    <w:rsid w:val="00661D2F"/>
    <w:rsid w:val="00662741"/>
    <w:rsid w:val="00663AA8"/>
    <w:rsid w:val="006646DE"/>
    <w:rsid w:val="00664D83"/>
    <w:rsid w:val="00666162"/>
    <w:rsid w:val="00667E82"/>
    <w:rsid w:val="00667F6C"/>
    <w:rsid w:val="006706EC"/>
    <w:rsid w:val="006708BF"/>
    <w:rsid w:val="00671623"/>
    <w:rsid w:val="00671C28"/>
    <w:rsid w:val="00675D9B"/>
    <w:rsid w:val="00680FF4"/>
    <w:rsid w:val="006847F1"/>
    <w:rsid w:val="00685C91"/>
    <w:rsid w:val="0068719D"/>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41CB"/>
    <w:rsid w:val="006D07C8"/>
    <w:rsid w:val="006D307D"/>
    <w:rsid w:val="006D36EF"/>
    <w:rsid w:val="006D55D3"/>
    <w:rsid w:val="006D58B4"/>
    <w:rsid w:val="006D6AA3"/>
    <w:rsid w:val="006D7B8C"/>
    <w:rsid w:val="006E0771"/>
    <w:rsid w:val="006E11AF"/>
    <w:rsid w:val="006E1D51"/>
    <w:rsid w:val="006E42BB"/>
    <w:rsid w:val="006E49FD"/>
    <w:rsid w:val="006E575E"/>
    <w:rsid w:val="006F137F"/>
    <w:rsid w:val="006F323D"/>
    <w:rsid w:val="006F62DF"/>
    <w:rsid w:val="006F6E19"/>
    <w:rsid w:val="006F7E63"/>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6D00"/>
    <w:rsid w:val="00743C02"/>
    <w:rsid w:val="00744F61"/>
    <w:rsid w:val="00752B11"/>
    <w:rsid w:val="00754BC3"/>
    <w:rsid w:val="007555C8"/>
    <w:rsid w:val="007570CA"/>
    <w:rsid w:val="00761670"/>
    <w:rsid w:val="00761F1F"/>
    <w:rsid w:val="00762FA3"/>
    <w:rsid w:val="0077433A"/>
    <w:rsid w:val="00775362"/>
    <w:rsid w:val="0077759B"/>
    <w:rsid w:val="007832CA"/>
    <w:rsid w:val="00785B72"/>
    <w:rsid w:val="00787800"/>
    <w:rsid w:val="007878A0"/>
    <w:rsid w:val="007909E3"/>
    <w:rsid w:val="00794A3F"/>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BA9"/>
    <w:rsid w:val="007D2E73"/>
    <w:rsid w:val="007D2F1B"/>
    <w:rsid w:val="007D3FF2"/>
    <w:rsid w:val="007D40A0"/>
    <w:rsid w:val="007D496E"/>
    <w:rsid w:val="007D5150"/>
    <w:rsid w:val="007D63D6"/>
    <w:rsid w:val="007E116B"/>
    <w:rsid w:val="007E4067"/>
    <w:rsid w:val="007E58A4"/>
    <w:rsid w:val="007E7B10"/>
    <w:rsid w:val="007F585E"/>
    <w:rsid w:val="007F5964"/>
    <w:rsid w:val="007F6A1C"/>
    <w:rsid w:val="007F7B1E"/>
    <w:rsid w:val="00801A82"/>
    <w:rsid w:val="008022F0"/>
    <w:rsid w:val="00805B48"/>
    <w:rsid w:val="00806888"/>
    <w:rsid w:val="00806C8A"/>
    <w:rsid w:val="00806D1A"/>
    <w:rsid w:val="0081081C"/>
    <w:rsid w:val="00813D8A"/>
    <w:rsid w:val="008150F4"/>
    <w:rsid w:val="008162F1"/>
    <w:rsid w:val="00820C5E"/>
    <w:rsid w:val="008215CA"/>
    <w:rsid w:val="00821F0B"/>
    <w:rsid w:val="008237F3"/>
    <w:rsid w:val="00824C0F"/>
    <w:rsid w:val="00826899"/>
    <w:rsid w:val="00831AA0"/>
    <w:rsid w:val="0083269C"/>
    <w:rsid w:val="00832F3D"/>
    <w:rsid w:val="00833F2F"/>
    <w:rsid w:val="0083544B"/>
    <w:rsid w:val="00837562"/>
    <w:rsid w:val="00837DF2"/>
    <w:rsid w:val="00845520"/>
    <w:rsid w:val="00854909"/>
    <w:rsid w:val="00856989"/>
    <w:rsid w:val="0085775F"/>
    <w:rsid w:val="008578E7"/>
    <w:rsid w:val="00860D5D"/>
    <w:rsid w:val="008612B7"/>
    <w:rsid w:val="00863D38"/>
    <w:rsid w:val="00865E30"/>
    <w:rsid w:val="00870A67"/>
    <w:rsid w:val="00875BF5"/>
    <w:rsid w:val="00877333"/>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7A21"/>
    <w:rsid w:val="008B09EC"/>
    <w:rsid w:val="008B1569"/>
    <w:rsid w:val="008B17C0"/>
    <w:rsid w:val="008B1E4B"/>
    <w:rsid w:val="008B3298"/>
    <w:rsid w:val="008B5B66"/>
    <w:rsid w:val="008B7723"/>
    <w:rsid w:val="008D3074"/>
    <w:rsid w:val="008D4AE1"/>
    <w:rsid w:val="008D5B26"/>
    <w:rsid w:val="008D6AF0"/>
    <w:rsid w:val="008D72F1"/>
    <w:rsid w:val="008E08DA"/>
    <w:rsid w:val="008E60F6"/>
    <w:rsid w:val="008E7FA1"/>
    <w:rsid w:val="008F0D8C"/>
    <w:rsid w:val="008F21CF"/>
    <w:rsid w:val="008F2AEE"/>
    <w:rsid w:val="00900750"/>
    <w:rsid w:val="009020DB"/>
    <w:rsid w:val="00903A0F"/>
    <w:rsid w:val="0090488E"/>
    <w:rsid w:val="00904B2D"/>
    <w:rsid w:val="00904D1A"/>
    <w:rsid w:val="0090602F"/>
    <w:rsid w:val="0090662C"/>
    <w:rsid w:val="00911731"/>
    <w:rsid w:val="00911D78"/>
    <w:rsid w:val="00913C47"/>
    <w:rsid w:val="00914426"/>
    <w:rsid w:val="00914A5C"/>
    <w:rsid w:val="00914C63"/>
    <w:rsid w:val="00915F48"/>
    <w:rsid w:val="00916B21"/>
    <w:rsid w:val="00917765"/>
    <w:rsid w:val="00920B59"/>
    <w:rsid w:val="009211E4"/>
    <w:rsid w:val="00921513"/>
    <w:rsid w:val="00926A2E"/>
    <w:rsid w:val="009312E9"/>
    <w:rsid w:val="00933D97"/>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72CF6"/>
    <w:rsid w:val="00973A6A"/>
    <w:rsid w:val="00976F0A"/>
    <w:rsid w:val="009800AB"/>
    <w:rsid w:val="0098150C"/>
    <w:rsid w:val="00981E83"/>
    <w:rsid w:val="00982B5F"/>
    <w:rsid w:val="00983917"/>
    <w:rsid w:val="00983AEB"/>
    <w:rsid w:val="0098494E"/>
    <w:rsid w:val="00986875"/>
    <w:rsid w:val="00987694"/>
    <w:rsid w:val="0099137B"/>
    <w:rsid w:val="009913C8"/>
    <w:rsid w:val="0099206E"/>
    <w:rsid w:val="00995181"/>
    <w:rsid w:val="00995A62"/>
    <w:rsid w:val="009965FA"/>
    <w:rsid w:val="00997972"/>
    <w:rsid w:val="009A4CEA"/>
    <w:rsid w:val="009A5684"/>
    <w:rsid w:val="009A5F74"/>
    <w:rsid w:val="009B0C3C"/>
    <w:rsid w:val="009B1150"/>
    <w:rsid w:val="009B416A"/>
    <w:rsid w:val="009B503B"/>
    <w:rsid w:val="009C1F84"/>
    <w:rsid w:val="009C4F07"/>
    <w:rsid w:val="009D0599"/>
    <w:rsid w:val="009D0653"/>
    <w:rsid w:val="009D1488"/>
    <w:rsid w:val="009D6D31"/>
    <w:rsid w:val="009E22B5"/>
    <w:rsid w:val="009E38E5"/>
    <w:rsid w:val="009E450D"/>
    <w:rsid w:val="009E5C50"/>
    <w:rsid w:val="009F38FF"/>
    <w:rsid w:val="009F5F42"/>
    <w:rsid w:val="009F7536"/>
    <w:rsid w:val="00A009B7"/>
    <w:rsid w:val="00A03B29"/>
    <w:rsid w:val="00A03B88"/>
    <w:rsid w:val="00A047E6"/>
    <w:rsid w:val="00A05970"/>
    <w:rsid w:val="00A10C74"/>
    <w:rsid w:val="00A10E91"/>
    <w:rsid w:val="00A11671"/>
    <w:rsid w:val="00A12712"/>
    <w:rsid w:val="00A13317"/>
    <w:rsid w:val="00A13968"/>
    <w:rsid w:val="00A15BF9"/>
    <w:rsid w:val="00A16C45"/>
    <w:rsid w:val="00A20CB9"/>
    <w:rsid w:val="00A24007"/>
    <w:rsid w:val="00A265EF"/>
    <w:rsid w:val="00A300BB"/>
    <w:rsid w:val="00A331AE"/>
    <w:rsid w:val="00A33C3A"/>
    <w:rsid w:val="00A34203"/>
    <w:rsid w:val="00A35529"/>
    <w:rsid w:val="00A36A32"/>
    <w:rsid w:val="00A376A2"/>
    <w:rsid w:val="00A4352D"/>
    <w:rsid w:val="00A43E6F"/>
    <w:rsid w:val="00A446B1"/>
    <w:rsid w:val="00A46904"/>
    <w:rsid w:val="00A47222"/>
    <w:rsid w:val="00A4738C"/>
    <w:rsid w:val="00A50A38"/>
    <w:rsid w:val="00A5258F"/>
    <w:rsid w:val="00A526C5"/>
    <w:rsid w:val="00A6159A"/>
    <w:rsid w:val="00A630B1"/>
    <w:rsid w:val="00A64CD6"/>
    <w:rsid w:val="00A651AD"/>
    <w:rsid w:val="00A71E70"/>
    <w:rsid w:val="00A802FB"/>
    <w:rsid w:val="00A81ECC"/>
    <w:rsid w:val="00A82251"/>
    <w:rsid w:val="00A8257E"/>
    <w:rsid w:val="00A8292D"/>
    <w:rsid w:val="00A86000"/>
    <w:rsid w:val="00A87A81"/>
    <w:rsid w:val="00A9274F"/>
    <w:rsid w:val="00A93167"/>
    <w:rsid w:val="00A93C9A"/>
    <w:rsid w:val="00A953EC"/>
    <w:rsid w:val="00A95A1B"/>
    <w:rsid w:val="00AA0E6F"/>
    <w:rsid w:val="00AA6815"/>
    <w:rsid w:val="00AA68FD"/>
    <w:rsid w:val="00AB0508"/>
    <w:rsid w:val="00AB1142"/>
    <w:rsid w:val="00AB14E5"/>
    <w:rsid w:val="00AB5E38"/>
    <w:rsid w:val="00AC0B37"/>
    <w:rsid w:val="00AC28F0"/>
    <w:rsid w:val="00AC4131"/>
    <w:rsid w:val="00AC4470"/>
    <w:rsid w:val="00AC747F"/>
    <w:rsid w:val="00AC7851"/>
    <w:rsid w:val="00AD0509"/>
    <w:rsid w:val="00AD2C4F"/>
    <w:rsid w:val="00AD311D"/>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95E"/>
    <w:rsid w:val="00AF65D9"/>
    <w:rsid w:val="00B01546"/>
    <w:rsid w:val="00B02530"/>
    <w:rsid w:val="00B059B8"/>
    <w:rsid w:val="00B0619B"/>
    <w:rsid w:val="00B07261"/>
    <w:rsid w:val="00B1105B"/>
    <w:rsid w:val="00B11690"/>
    <w:rsid w:val="00B11AF8"/>
    <w:rsid w:val="00B12A71"/>
    <w:rsid w:val="00B134AF"/>
    <w:rsid w:val="00B13E52"/>
    <w:rsid w:val="00B15D8E"/>
    <w:rsid w:val="00B20074"/>
    <w:rsid w:val="00B23263"/>
    <w:rsid w:val="00B278CD"/>
    <w:rsid w:val="00B310CA"/>
    <w:rsid w:val="00B35859"/>
    <w:rsid w:val="00B35CC3"/>
    <w:rsid w:val="00B36CFB"/>
    <w:rsid w:val="00B3715E"/>
    <w:rsid w:val="00B41818"/>
    <w:rsid w:val="00B42CB7"/>
    <w:rsid w:val="00B51ED7"/>
    <w:rsid w:val="00B52B1C"/>
    <w:rsid w:val="00B54088"/>
    <w:rsid w:val="00B543E2"/>
    <w:rsid w:val="00B60B64"/>
    <w:rsid w:val="00B66ADC"/>
    <w:rsid w:val="00B67F4A"/>
    <w:rsid w:val="00B70815"/>
    <w:rsid w:val="00B70A6D"/>
    <w:rsid w:val="00B7213D"/>
    <w:rsid w:val="00B72A0F"/>
    <w:rsid w:val="00B733BB"/>
    <w:rsid w:val="00B76FAA"/>
    <w:rsid w:val="00B77CDD"/>
    <w:rsid w:val="00B80B2E"/>
    <w:rsid w:val="00B81E08"/>
    <w:rsid w:val="00B8470A"/>
    <w:rsid w:val="00B90405"/>
    <w:rsid w:val="00B92CB3"/>
    <w:rsid w:val="00B939B4"/>
    <w:rsid w:val="00B95AF4"/>
    <w:rsid w:val="00B95CA6"/>
    <w:rsid w:val="00B9646E"/>
    <w:rsid w:val="00BA0B0A"/>
    <w:rsid w:val="00BA3918"/>
    <w:rsid w:val="00BA4893"/>
    <w:rsid w:val="00BA5C86"/>
    <w:rsid w:val="00BA73D9"/>
    <w:rsid w:val="00BB2A20"/>
    <w:rsid w:val="00BB3E49"/>
    <w:rsid w:val="00BB411E"/>
    <w:rsid w:val="00BB432E"/>
    <w:rsid w:val="00BB453C"/>
    <w:rsid w:val="00BB6756"/>
    <w:rsid w:val="00BC1DFB"/>
    <w:rsid w:val="00BC26C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209B"/>
    <w:rsid w:val="00C03AC7"/>
    <w:rsid w:val="00C040AA"/>
    <w:rsid w:val="00C05304"/>
    <w:rsid w:val="00C074F9"/>
    <w:rsid w:val="00C15F93"/>
    <w:rsid w:val="00C20912"/>
    <w:rsid w:val="00C250C1"/>
    <w:rsid w:val="00C258F5"/>
    <w:rsid w:val="00C2616C"/>
    <w:rsid w:val="00C2759E"/>
    <w:rsid w:val="00C27E69"/>
    <w:rsid w:val="00C31131"/>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6061"/>
    <w:rsid w:val="00C67A01"/>
    <w:rsid w:val="00C70FD6"/>
    <w:rsid w:val="00C73B28"/>
    <w:rsid w:val="00C77FA9"/>
    <w:rsid w:val="00C81444"/>
    <w:rsid w:val="00C8228A"/>
    <w:rsid w:val="00C82382"/>
    <w:rsid w:val="00C82673"/>
    <w:rsid w:val="00C82886"/>
    <w:rsid w:val="00C84000"/>
    <w:rsid w:val="00C90F1D"/>
    <w:rsid w:val="00C925E1"/>
    <w:rsid w:val="00C92A89"/>
    <w:rsid w:val="00C92C5D"/>
    <w:rsid w:val="00C939EF"/>
    <w:rsid w:val="00C9495F"/>
    <w:rsid w:val="00C94D38"/>
    <w:rsid w:val="00C951BA"/>
    <w:rsid w:val="00C959C2"/>
    <w:rsid w:val="00C95EF5"/>
    <w:rsid w:val="00C96895"/>
    <w:rsid w:val="00C96DF0"/>
    <w:rsid w:val="00C9763B"/>
    <w:rsid w:val="00CA1321"/>
    <w:rsid w:val="00CA1810"/>
    <w:rsid w:val="00CA37DA"/>
    <w:rsid w:val="00CB12D3"/>
    <w:rsid w:val="00CB3E49"/>
    <w:rsid w:val="00CB552A"/>
    <w:rsid w:val="00CB5E61"/>
    <w:rsid w:val="00CC0A1F"/>
    <w:rsid w:val="00CC0C80"/>
    <w:rsid w:val="00CC2975"/>
    <w:rsid w:val="00CC68BB"/>
    <w:rsid w:val="00CD091C"/>
    <w:rsid w:val="00CD3BB2"/>
    <w:rsid w:val="00CD5641"/>
    <w:rsid w:val="00CD674E"/>
    <w:rsid w:val="00CE0707"/>
    <w:rsid w:val="00CE0C89"/>
    <w:rsid w:val="00CE228D"/>
    <w:rsid w:val="00CE51B6"/>
    <w:rsid w:val="00CE590D"/>
    <w:rsid w:val="00CF1F7C"/>
    <w:rsid w:val="00CF42D1"/>
    <w:rsid w:val="00CF6475"/>
    <w:rsid w:val="00D00C0B"/>
    <w:rsid w:val="00D01D7A"/>
    <w:rsid w:val="00D04761"/>
    <w:rsid w:val="00D07BDF"/>
    <w:rsid w:val="00D109C8"/>
    <w:rsid w:val="00D11284"/>
    <w:rsid w:val="00D1209F"/>
    <w:rsid w:val="00D12A15"/>
    <w:rsid w:val="00D13928"/>
    <w:rsid w:val="00D13D7B"/>
    <w:rsid w:val="00D2149F"/>
    <w:rsid w:val="00D24C5C"/>
    <w:rsid w:val="00D25E88"/>
    <w:rsid w:val="00D26DBB"/>
    <w:rsid w:val="00D301F5"/>
    <w:rsid w:val="00D3271D"/>
    <w:rsid w:val="00D3451C"/>
    <w:rsid w:val="00D34745"/>
    <w:rsid w:val="00D35694"/>
    <w:rsid w:val="00D429F3"/>
    <w:rsid w:val="00D44ADA"/>
    <w:rsid w:val="00D455DF"/>
    <w:rsid w:val="00D46909"/>
    <w:rsid w:val="00D47B83"/>
    <w:rsid w:val="00D47BBA"/>
    <w:rsid w:val="00D5027F"/>
    <w:rsid w:val="00D52B67"/>
    <w:rsid w:val="00D531CB"/>
    <w:rsid w:val="00D54943"/>
    <w:rsid w:val="00D56A52"/>
    <w:rsid w:val="00D60BBA"/>
    <w:rsid w:val="00D62FB4"/>
    <w:rsid w:val="00D6338D"/>
    <w:rsid w:val="00D65269"/>
    <w:rsid w:val="00D67353"/>
    <w:rsid w:val="00D673DB"/>
    <w:rsid w:val="00D703AF"/>
    <w:rsid w:val="00D70BDB"/>
    <w:rsid w:val="00D71203"/>
    <w:rsid w:val="00D71FDB"/>
    <w:rsid w:val="00D72875"/>
    <w:rsid w:val="00D75244"/>
    <w:rsid w:val="00D75751"/>
    <w:rsid w:val="00D816DB"/>
    <w:rsid w:val="00D87356"/>
    <w:rsid w:val="00D87552"/>
    <w:rsid w:val="00D91A32"/>
    <w:rsid w:val="00D92EB1"/>
    <w:rsid w:val="00D92FC6"/>
    <w:rsid w:val="00D9666B"/>
    <w:rsid w:val="00DA3B1C"/>
    <w:rsid w:val="00DA51A7"/>
    <w:rsid w:val="00DA549E"/>
    <w:rsid w:val="00DA5F3B"/>
    <w:rsid w:val="00DB0AC6"/>
    <w:rsid w:val="00DB5868"/>
    <w:rsid w:val="00DC01CD"/>
    <w:rsid w:val="00DC0FE8"/>
    <w:rsid w:val="00DC38A8"/>
    <w:rsid w:val="00DC467A"/>
    <w:rsid w:val="00DC4D7C"/>
    <w:rsid w:val="00DC52AA"/>
    <w:rsid w:val="00DC52DA"/>
    <w:rsid w:val="00DC7032"/>
    <w:rsid w:val="00DD014C"/>
    <w:rsid w:val="00DD4A2D"/>
    <w:rsid w:val="00DD50A3"/>
    <w:rsid w:val="00DD5522"/>
    <w:rsid w:val="00DD6F76"/>
    <w:rsid w:val="00DE0F49"/>
    <w:rsid w:val="00DE4D36"/>
    <w:rsid w:val="00DE6B4B"/>
    <w:rsid w:val="00DE7DCE"/>
    <w:rsid w:val="00DF2859"/>
    <w:rsid w:val="00DF5FC5"/>
    <w:rsid w:val="00DF60D7"/>
    <w:rsid w:val="00DF7966"/>
    <w:rsid w:val="00E02665"/>
    <w:rsid w:val="00E02DCA"/>
    <w:rsid w:val="00E03B6F"/>
    <w:rsid w:val="00E1152D"/>
    <w:rsid w:val="00E12197"/>
    <w:rsid w:val="00E1262F"/>
    <w:rsid w:val="00E15D42"/>
    <w:rsid w:val="00E174F3"/>
    <w:rsid w:val="00E203BC"/>
    <w:rsid w:val="00E20DA0"/>
    <w:rsid w:val="00E25879"/>
    <w:rsid w:val="00E26B02"/>
    <w:rsid w:val="00E32582"/>
    <w:rsid w:val="00E34130"/>
    <w:rsid w:val="00E34B36"/>
    <w:rsid w:val="00E41928"/>
    <w:rsid w:val="00E41E4F"/>
    <w:rsid w:val="00E444AB"/>
    <w:rsid w:val="00E47C59"/>
    <w:rsid w:val="00E50CC2"/>
    <w:rsid w:val="00E517AC"/>
    <w:rsid w:val="00E51E87"/>
    <w:rsid w:val="00E52817"/>
    <w:rsid w:val="00E52CAA"/>
    <w:rsid w:val="00E541DB"/>
    <w:rsid w:val="00E54777"/>
    <w:rsid w:val="00E563A4"/>
    <w:rsid w:val="00E6096C"/>
    <w:rsid w:val="00E61442"/>
    <w:rsid w:val="00E61FC1"/>
    <w:rsid w:val="00E64869"/>
    <w:rsid w:val="00E64954"/>
    <w:rsid w:val="00E6520C"/>
    <w:rsid w:val="00E7046E"/>
    <w:rsid w:val="00E763DB"/>
    <w:rsid w:val="00E7667F"/>
    <w:rsid w:val="00E803D5"/>
    <w:rsid w:val="00E806DA"/>
    <w:rsid w:val="00E839B7"/>
    <w:rsid w:val="00E83ADE"/>
    <w:rsid w:val="00E9197C"/>
    <w:rsid w:val="00E9425A"/>
    <w:rsid w:val="00E944AE"/>
    <w:rsid w:val="00E95F9D"/>
    <w:rsid w:val="00E97A59"/>
    <w:rsid w:val="00EA105F"/>
    <w:rsid w:val="00EA1372"/>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4B5B"/>
    <w:rsid w:val="00EC7C71"/>
    <w:rsid w:val="00ED0AD5"/>
    <w:rsid w:val="00ED1271"/>
    <w:rsid w:val="00ED2787"/>
    <w:rsid w:val="00ED56FD"/>
    <w:rsid w:val="00ED7CB3"/>
    <w:rsid w:val="00EE1A7B"/>
    <w:rsid w:val="00EE5134"/>
    <w:rsid w:val="00EE58E5"/>
    <w:rsid w:val="00EE5909"/>
    <w:rsid w:val="00EF08BE"/>
    <w:rsid w:val="00EF1AF0"/>
    <w:rsid w:val="00EF34CF"/>
    <w:rsid w:val="00EF78D5"/>
    <w:rsid w:val="00EF7D55"/>
    <w:rsid w:val="00F0168D"/>
    <w:rsid w:val="00F02350"/>
    <w:rsid w:val="00F023EE"/>
    <w:rsid w:val="00F0319F"/>
    <w:rsid w:val="00F0382D"/>
    <w:rsid w:val="00F05602"/>
    <w:rsid w:val="00F0597A"/>
    <w:rsid w:val="00F05EB3"/>
    <w:rsid w:val="00F079CC"/>
    <w:rsid w:val="00F177C5"/>
    <w:rsid w:val="00F20ACE"/>
    <w:rsid w:val="00F21753"/>
    <w:rsid w:val="00F23A95"/>
    <w:rsid w:val="00F24743"/>
    <w:rsid w:val="00F25C86"/>
    <w:rsid w:val="00F2700A"/>
    <w:rsid w:val="00F36C6B"/>
    <w:rsid w:val="00F44013"/>
    <w:rsid w:val="00F440F0"/>
    <w:rsid w:val="00F45C26"/>
    <w:rsid w:val="00F47B4D"/>
    <w:rsid w:val="00F51F0C"/>
    <w:rsid w:val="00F53343"/>
    <w:rsid w:val="00F56B5A"/>
    <w:rsid w:val="00F57A04"/>
    <w:rsid w:val="00F62175"/>
    <w:rsid w:val="00F63287"/>
    <w:rsid w:val="00F65B18"/>
    <w:rsid w:val="00F666FC"/>
    <w:rsid w:val="00F715E8"/>
    <w:rsid w:val="00F71E80"/>
    <w:rsid w:val="00F725E0"/>
    <w:rsid w:val="00F73D3C"/>
    <w:rsid w:val="00F8390D"/>
    <w:rsid w:val="00F83EAD"/>
    <w:rsid w:val="00F8501F"/>
    <w:rsid w:val="00F91A01"/>
    <w:rsid w:val="00F93043"/>
    <w:rsid w:val="00F937F9"/>
    <w:rsid w:val="00F953C0"/>
    <w:rsid w:val="00F95AA7"/>
    <w:rsid w:val="00F975A3"/>
    <w:rsid w:val="00FA3471"/>
    <w:rsid w:val="00FA40AE"/>
    <w:rsid w:val="00FB369A"/>
    <w:rsid w:val="00FB4273"/>
    <w:rsid w:val="00FB5130"/>
    <w:rsid w:val="00FB54C8"/>
    <w:rsid w:val="00FC2E08"/>
    <w:rsid w:val="00FC36F1"/>
    <w:rsid w:val="00FC7A12"/>
    <w:rsid w:val="00FD00D5"/>
    <w:rsid w:val="00FD0199"/>
    <w:rsid w:val="00FD42A7"/>
    <w:rsid w:val="00FE08F7"/>
    <w:rsid w:val="00FE1E01"/>
    <w:rsid w:val="00FE26D5"/>
    <w:rsid w:val="00FE64A1"/>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87733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77333"/>
  </w:style>
  <w:style w:type="paragraph" w:customStyle="1" w:styleId="B1">
    <w:name w:val="B1"/>
    <w:basedOn w:val="List"/>
    <w:rsid w:val="00434B3B"/>
  </w:style>
  <w:style w:type="paragraph" w:customStyle="1" w:styleId="00BodyText">
    <w:name w:val="00 BodyText"/>
    <w:basedOn w:val="Normal"/>
    <w:rsid w:val="00877333"/>
    <w:pPr>
      <w:spacing w:after="220"/>
    </w:pPr>
    <w:rPr>
      <w:rFonts w:ascii="Arial" w:hAnsi="Arial"/>
      <w:sz w:val="22"/>
      <w:lang w:val="en-US" w:eastAsia="en-US"/>
    </w:rPr>
  </w:style>
  <w:style w:type="paragraph" w:customStyle="1" w:styleId="a">
    <w:name w:val="??"/>
    <w:rsid w:val="00877333"/>
    <w:pPr>
      <w:widowControl w:val="0"/>
    </w:pPr>
    <w:rPr>
      <w:lang w:eastAsia="en-US"/>
    </w:rPr>
  </w:style>
  <w:style w:type="paragraph" w:customStyle="1" w:styleId="2">
    <w:name w:val="??? 2"/>
    <w:basedOn w:val="a"/>
    <w:next w:val="a"/>
    <w:rsid w:val="00877333"/>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B01546"/>
    <w:rPr>
      <w:lang w:val="en-GB" w:eastAsia="ja-JP"/>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087C304-D77A-42BE-AEA0-F024E1BC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Nokia Networks</cp:lastModifiedBy>
  <cp:revision>6</cp:revision>
  <cp:lastPrinted>2001-04-23T03:30:00Z</cp:lastPrinted>
  <dcterms:created xsi:type="dcterms:W3CDTF">2015-01-28T20:18:00Z</dcterms:created>
  <dcterms:modified xsi:type="dcterms:W3CDTF">2015-02-02T16:54:00Z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